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9455E" w:rsidR="00A9455E" w:rsidP="00A9455E" w:rsidRDefault="00A9455E" w14:paraId="0422375A" w14:textId="77777777">
      <w:pPr>
        <w:spacing w:before="100" w:beforeAutospacing="1" w:after="100" w:afterAutospacing="1"/>
        <w:outlineLvl w:val="0"/>
        <w:rPr>
          <w:rFonts w:eastAsia="Times New Roman" w:cstheme="minorHAnsi"/>
          <w:b/>
          <w:bCs/>
          <w:kern w:val="36"/>
          <w:lang w:eastAsia="en-GB"/>
          <w14:ligatures w14:val="none"/>
        </w:rPr>
      </w:pPr>
      <w:r w:rsidRPr="5885B6F2" w:rsidR="00A9455E">
        <w:rPr>
          <w:rFonts w:eastAsia="Times New Roman" w:cs="Calibri" w:cstheme="minorAscii"/>
          <w:b w:val="1"/>
          <w:bCs w:val="1"/>
          <w:kern w:val="36"/>
          <w:lang w:eastAsia="en-GB"/>
          <w14:ligatures w14:val="none"/>
        </w:rPr>
        <w:t>Guidance for Universities on Adapting to Changes in Secondary Education Documentation for Students with Disabilities</w:t>
      </w:r>
    </w:p>
    <w:p w:rsidR="5885B6F2" w:rsidP="5885B6F2" w:rsidRDefault="5885B6F2" w14:paraId="14B76058" w14:textId="75CECBA6">
      <w:pPr>
        <w:spacing w:beforeAutospacing="on" w:afterAutospacing="on"/>
        <w:rPr>
          <w:rFonts w:eastAsia="Times New Roman" w:cs="Calibri" w:cstheme="minorAscii"/>
          <w:lang w:eastAsia="en-GB"/>
        </w:rPr>
      </w:pPr>
    </w:p>
    <w:p w:rsidRPr="00A9455E" w:rsidR="00A9455E" w:rsidP="00A9455E" w:rsidRDefault="00A9455E" w14:paraId="2FB238F6" w14:textId="77777777">
      <w:pPr>
        <w:spacing w:before="100" w:beforeAutospacing="1" w:after="100" w:afterAutospacing="1"/>
        <w:rPr>
          <w:rFonts w:eastAsia="Times New Roman" w:cstheme="minorHAnsi"/>
          <w:kern w:val="0"/>
          <w:lang w:eastAsia="en-GB"/>
          <w14:ligatures w14:val="none"/>
        </w:rPr>
      </w:pPr>
      <w:r w:rsidRPr="00A9455E">
        <w:rPr>
          <w:rFonts w:eastAsia="Times New Roman" w:cstheme="minorHAnsi"/>
          <w:kern w:val="0"/>
          <w:lang w:eastAsia="en-GB"/>
          <w14:ligatures w14:val="none"/>
        </w:rPr>
        <w:t>Recent shifts in how disabilities and special educational needs (SEND) are documented and accommodated at the secondary level have significant implications for higher education institutions. These changes, aimed at providing more equitable access to learning support, reduce the reliance on formal documentation from clinical professionals for accessing accommodations. As such, universities must adapt their policies and practices to accommodate students transitioning from secondary education without traditional forms of disability documentation.</w:t>
      </w:r>
    </w:p>
    <w:p w:rsidRPr="00A9455E" w:rsidR="00A9455E" w:rsidP="00A9455E" w:rsidRDefault="00A9455E" w14:paraId="633FF0DC" w14:textId="77777777">
      <w:pPr>
        <w:spacing w:before="100" w:beforeAutospacing="1" w:after="100" w:afterAutospacing="1"/>
        <w:outlineLvl w:val="1"/>
        <w:rPr>
          <w:rFonts w:eastAsia="Times New Roman" w:cstheme="minorHAnsi"/>
          <w:b/>
          <w:bCs/>
          <w:kern w:val="0"/>
          <w:lang w:eastAsia="en-GB"/>
          <w14:ligatures w14:val="none"/>
        </w:rPr>
      </w:pPr>
      <w:r w:rsidRPr="00A9455E">
        <w:rPr>
          <w:rFonts w:eastAsia="Times New Roman" w:cstheme="minorHAnsi"/>
          <w:b/>
          <w:bCs/>
          <w:kern w:val="0"/>
          <w:lang w:eastAsia="en-GB"/>
          <w14:ligatures w14:val="none"/>
        </w:rPr>
        <w:t>Understanding the Changes</w:t>
      </w:r>
    </w:p>
    <w:p w:rsidRPr="00A9455E" w:rsidR="00A9455E" w:rsidP="00A9455E" w:rsidRDefault="00A9455E" w14:paraId="27080A4E" w14:textId="77777777">
      <w:pPr>
        <w:spacing w:before="100" w:beforeAutospacing="1" w:after="100" w:afterAutospacing="1"/>
        <w:outlineLvl w:val="2"/>
        <w:rPr>
          <w:rFonts w:eastAsia="Times New Roman" w:cstheme="minorHAnsi"/>
          <w:b/>
          <w:bCs/>
          <w:kern w:val="0"/>
          <w:lang w:eastAsia="en-GB"/>
          <w14:ligatures w14:val="none"/>
        </w:rPr>
      </w:pPr>
      <w:r w:rsidRPr="00A9455E">
        <w:rPr>
          <w:rFonts w:eastAsia="Times New Roman" w:cstheme="minorHAnsi"/>
          <w:b/>
          <w:bCs/>
          <w:kern w:val="0"/>
          <w:lang w:eastAsia="en-GB"/>
          <w14:ligatures w14:val="none"/>
        </w:rPr>
        <w:t>Transition from Clinical to Educational Assessments</w:t>
      </w:r>
    </w:p>
    <w:p w:rsidRPr="00A9455E" w:rsidR="00A9455E" w:rsidP="00A9455E" w:rsidRDefault="00A9455E" w14:paraId="7A8018C4" w14:textId="77777777">
      <w:pPr>
        <w:numPr>
          <w:ilvl w:val="0"/>
          <w:numId w:val="1"/>
        </w:numPr>
        <w:spacing w:before="100" w:beforeAutospacing="1" w:after="100" w:afterAutospacing="1"/>
        <w:rPr>
          <w:rFonts w:eastAsia="Times New Roman" w:cstheme="minorHAnsi"/>
          <w:kern w:val="0"/>
          <w:lang w:eastAsia="en-GB"/>
          <w14:ligatures w14:val="none"/>
        </w:rPr>
      </w:pPr>
      <w:r w:rsidRPr="00A9455E">
        <w:rPr>
          <w:rFonts w:eastAsia="Times New Roman" w:cstheme="minorHAnsi"/>
          <w:b/>
          <w:bCs/>
          <w:kern w:val="0"/>
          <w:lang w:eastAsia="en-GB"/>
          <w14:ligatures w14:val="none"/>
        </w:rPr>
        <w:t>Shift Focus</w:t>
      </w:r>
      <w:r w:rsidRPr="00A9455E">
        <w:rPr>
          <w:rFonts w:eastAsia="Times New Roman" w:cstheme="minorHAnsi"/>
          <w:kern w:val="0"/>
          <w:lang w:eastAsia="en-GB"/>
          <w14:ligatures w14:val="none"/>
        </w:rPr>
        <w:t>: Secondary education in Ireland is moving towards educational assessments (Assessment of Educational Need - AON) to determine the need for accommodations, reducing the emphasis on clinical diagnoses.</w:t>
      </w:r>
    </w:p>
    <w:p w:rsidRPr="00A9455E" w:rsidR="00A9455E" w:rsidP="00A9455E" w:rsidRDefault="00A9455E" w14:paraId="1F430D84" w14:textId="77777777">
      <w:pPr>
        <w:numPr>
          <w:ilvl w:val="0"/>
          <w:numId w:val="1"/>
        </w:numPr>
        <w:spacing w:before="100" w:beforeAutospacing="1" w:after="100" w:afterAutospacing="1"/>
        <w:rPr>
          <w:rFonts w:eastAsia="Times New Roman" w:cstheme="minorHAnsi"/>
          <w:kern w:val="0"/>
          <w:lang w:eastAsia="en-GB"/>
          <w14:ligatures w14:val="none"/>
        </w:rPr>
      </w:pPr>
      <w:r w:rsidRPr="00A9455E">
        <w:rPr>
          <w:rFonts w:eastAsia="Times New Roman" w:cstheme="minorHAnsi"/>
          <w:b/>
          <w:bCs/>
          <w:kern w:val="0"/>
          <w:lang w:eastAsia="en-GB"/>
          <w14:ligatures w14:val="none"/>
        </w:rPr>
        <w:t>Impact on DARE and Other Access Schemes</w:t>
      </w:r>
      <w:r w:rsidRPr="00A9455E">
        <w:rPr>
          <w:rFonts w:eastAsia="Times New Roman" w:cstheme="minorHAnsi"/>
          <w:kern w:val="0"/>
          <w:lang w:eastAsia="en-GB"/>
          <w14:ligatures w14:val="none"/>
        </w:rPr>
        <w:t>: This shift may affect eligibility criteria for schemes like the Disability Access Route to Education (DARE) and the provision of reasonable accommodations in higher education.</w:t>
      </w:r>
    </w:p>
    <w:p w:rsidRPr="00A9455E" w:rsidR="00A9455E" w:rsidP="00A9455E" w:rsidRDefault="00A9455E" w14:paraId="6A6A5399" w14:textId="77777777">
      <w:pPr>
        <w:spacing w:before="100" w:beforeAutospacing="1" w:after="100" w:afterAutospacing="1"/>
        <w:outlineLvl w:val="2"/>
        <w:rPr>
          <w:rFonts w:eastAsia="Times New Roman" w:cstheme="minorHAnsi"/>
          <w:b/>
          <w:bCs/>
          <w:kern w:val="0"/>
          <w:lang w:eastAsia="en-GB"/>
          <w14:ligatures w14:val="none"/>
        </w:rPr>
      </w:pPr>
      <w:r w:rsidRPr="00A9455E">
        <w:rPr>
          <w:rFonts w:eastAsia="Times New Roman" w:cstheme="minorHAnsi"/>
          <w:b/>
          <w:bCs/>
          <w:kern w:val="0"/>
          <w:lang w:eastAsia="en-GB"/>
          <w14:ligatures w14:val="none"/>
        </w:rPr>
        <w:t>Reasonable Accommodations at Certificate Examinations (RACE)</w:t>
      </w:r>
    </w:p>
    <w:p w:rsidRPr="00A9455E" w:rsidR="00A9455E" w:rsidP="00A9455E" w:rsidRDefault="00A9455E" w14:paraId="0C15FBD6" w14:textId="77777777">
      <w:pPr>
        <w:numPr>
          <w:ilvl w:val="0"/>
          <w:numId w:val="2"/>
        </w:numPr>
        <w:spacing w:before="100" w:beforeAutospacing="1" w:after="100" w:afterAutospacing="1"/>
        <w:rPr>
          <w:rFonts w:eastAsia="Times New Roman" w:cstheme="minorHAnsi"/>
          <w:kern w:val="0"/>
          <w:lang w:eastAsia="en-GB"/>
          <w14:ligatures w14:val="none"/>
        </w:rPr>
      </w:pPr>
      <w:r w:rsidRPr="00A9455E">
        <w:rPr>
          <w:rFonts w:eastAsia="Times New Roman" w:cstheme="minorHAnsi"/>
          <w:b/>
          <w:bCs/>
          <w:kern w:val="0"/>
          <w:lang w:eastAsia="en-GB"/>
          <w14:ligatures w14:val="none"/>
        </w:rPr>
        <w:t>Long-term Accommodations</w:t>
      </w:r>
      <w:r w:rsidRPr="00A9455E">
        <w:rPr>
          <w:rFonts w:eastAsia="Times New Roman" w:cstheme="minorHAnsi"/>
          <w:kern w:val="0"/>
          <w:lang w:eastAsia="en-GB"/>
          <w14:ligatures w14:val="none"/>
        </w:rPr>
        <w:t>: If accommodations are granted at the Junior Certificate level, there’s an assumption they will continue through the Leaving Certificate, pending need verification, simplifying the process and reducing the burden on students and families.</w:t>
      </w:r>
    </w:p>
    <w:p w:rsidRPr="00A9455E" w:rsidR="00A9455E" w:rsidP="00A9455E" w:rsidRDefault="00A9455E" w14:paraId="426AFFC2" w14:textId="77777777">
      <w:pPr>
        <w:spacing w:before="100" w:beforeAutospacing="1" w:after="100" w:afterAutospacing="1"/>
        <w:outlineLvl w:val="2"/>
        <w:rPr>
          <w:rFonts w:eastAsia="Times New Roman" w:cstheme="minorHAnsi"/>
          <w:b/>
          <w:bCs/>
          <w:kern w:val="0"/>
          <w:lang w:eastAsia="en-GB"/>
          <w14:ligatures w14:val="none"/>
        </w:rPr>
      </w:pPr>
      <w:r w:rsidRPr="00A9455E">
        <w:rPr>
          <w:rFonts w:eastAsia="Times New Roman" w:cstheme="minorHAnsi"/>
          <w:b/>
          <w:bCs/>
          <w:kern w:val="0"/>
          <w:lang w:eastAsia="en-GB"/>
          <w14:ligatures w14:val="none"/>
        </w:rPr>
        <w:t>School Inclusion Model</w:t>
      </w:r>
    </w:p>
    <w:p w:rsidRPr="00A9455E" w:rsidR="00A9455E" w:rsidP="00A9455E" w:rsidRDefault="00A9455E" w14:paraId="1DE2861A" w14:textId="77777777">
      <w:pPr>
        <w:numPr>
          <w:ilvl w:val="0"/>
          <w:numId w:val="3"/>
        </w:numPr>
        <w:spacing w:before="100" w:beforeAutospacing="1" w:after="100" w:afterAutospacing="1"/>
        <w:rPr>
          <w:rFonts w:eastAsia="Times New Roman" w:cstheme="minorHAnsi"/>
          <w:kern w:val="0"/>
          <w:lang w:eastAsia="en-GB"/>
          <w14:ligatures w14:val="none"/>
        </w:rPr>
      </w:pPr>
      <w:r w:rsidRPr="00A9455E">
        <w:rPr>
          <w:rFonts w:eastAsia="Times New Roman" w:cstheme="minorHAnsi"/>
          <w:b/>
          <w:bCs/>
          <w:kern w:val="0"/>
          <w:lang w:eastAsia="en-GB"/>
          <w14:ligatures w14:val="none"/>
        </w:rPr>
        <w:t>Timely and Relevant Support</w:t>
      </w:r>
      <w:r w:rsidRPr="00A9455E">
        <w:rPr>
          <w:rFonts w:eastAsia="Times New Roman" w:cstheme="minorHAnsi"/>
          <w:kern w:val="0"/>
          <w:lang w:eastAsia="en-GB"/>
          <w14:ligatures w14:val="none"/>
        </w:rPr>
        <w:t>: The new model emphasizes support based on individual needs rather than a disability diagnosis, aiming for immediate access to support.</w:t>
      </w:r>
    </w:p>
    <w:p w:rsidRPr="00A9455E" w:rsidR="00A9455E" w:rsidP="00A9455E" w:rsidRDefault="00A9455E" w14:paraId="163F5802" w14:textId="77777777">
      <w:pPr>
        <w:spacing w:before="100" w:beforeAutospacing="1" w:after="100" w:afterAutospacing="1"/>
        <w:outlineLvl w:val="1"/>
        <w:rPr>
          <w:rFonts w:eastAsia="Times New Roman" w:cstheme="minorHAnsi"/>
          <w:b/>
          <w:bCs/>
          <w:kern w:val="0"/>
          <w:lang w:eastAsia="en-GB"/>
          <w14:ligatures w14:val="none"/>
        </w:rPr>
      </w:pPr>
      <w:r w:rsidRPr="00A9455E">
        <w:rPr>
          <w:rFonts w:eastAsia="Times New Roman" w:cstheme="minorHAnsi"/>
          <w:b/>
          <w:bCs/>
          <w:kern w:val="0"/>
          <w:lang w:eastAsia="en-GB"/>
          <w14:ligatures w14:val="none"/>
        </w:rPr>
        <w:t>Guidance for Universities</w:t>
      </w:r>
    </w:p>
    <w:p w:rsidRPr="00A9455E" w:rsidR="00A9455E" w:rsidP="00A9455E" w:rsidRDefault="00A9455E" w14:paraId="171FFFEC" w14:textId="77777777">
      <w:pPr>
        <w:spacing w:before="100" w:beforeAutospacing="1" w:after="100" w:afterAutospacing="1"/>
        <w:outlineLvl w:val="2"/>
        <w:rPr>
          <w:rFonts w:eastAsia="Times New Roman" w:cstheme="minorHAnsi"/>
          <w:b/>
          <w:bCs/>
          <w:kern w:val="0"/>
          <w:lang w:eastAsia="en-GB"/>
          <w14:ligatures w14:val="none"/>
        </w:rPr>
      </w:pPr>
      <w:r w:rsidRPr="00A9455E">
        <w:rPr>
          <w:rFonts w:eastAsia="Times New Roman" w:cstheme="minorHAnsi"/>
          <w:b/>
          <w:bCs/>
          <w:kern w:val="0"/>
          <w:lang w:eastAsia="en-GB"/>
          <w14:ligatures w14:val="none"/>
        </w:rPr>
        <w:t>Adapting Admission and Support Systems</w:t>
      </w:r>
    </w:p>
    <w:p w:rsidRPr="00A9455E" w:rsidR="00A9455E" w:rsidP="00A9455E" w:rsidRDefault="00A9455E" w14:paraId="41A9C73E" w14:textId="77777777">
      <w:pPr>
        <w:numPr>
          <w:ilvl w:val="0"/>
          <w:numId w:val="4"/>
        </w:numPr>
        <w:spacing w:before="100" w:beforeAutospacing="1" w:after="100" w:afterAutospacing="1"/>
        <w:rPr>
          <w:rFonts w:eastAsia="Times New Roman" w:cstheme="minorHAnsi"/>
          <w:kern w:val="0"/>
          <w:lang w:eastAsia="en-GB"/>
          <w14:ligatures w14:val="none"/>
        </w:rPr>
      </w:pPr>
      <w:r w:rsidRPr="00A9455E">
        <w:rPr>
          <w:rFonts w:eastAsia="Times New Roman" w:cstheme="minorHAnsi"/>
          <w:b/>
          <w:bCs/>
          <w:kern w:val="0"/>
          <w:lang w:eastAsia="en-GB"/>
          <w14:ligatures w14:val="none"/>
        </w:rPr>
        <w:t>Review Admission Criteria</w:t>
      </w:r>
      <w:r w:rsidRPr="00A9455E">
        <w:rPr>
          <w:rFonts w:eastAsia="Times New Roman" w:cstheme="minorHAnsi"/>
          <w:kern w:val="0"/>
          <w:lang w:eastAsia="en-GB"/>
          <w14:ligatures w14:val="none"/>
        </w:rPr>
        <w:t>: Universities should consider how changes in secondary education documentation impact admission criteria, particularly for access schemes like DARE.</w:t>
      </w:r>
    </w:p>
    <w:p w:rsidRPr="00A9455E" w:rsidR="00A9455E" w:rsidP="00A9455E" w:rsidRDefault="00A9455E" w14:paraId="294D6C71" w14:textId="77777777">
      <w:pPr>
        <w:numPr>
          <w:ilvl w:val="0"/>
          <w:numId w:val="4"/>
        </w:numPr>
        <w:spacing w:before="100" w:beforeAutospacing="1" w:after="100" w:afterAutospacing="1"/>
        <w:rPr>
          <w:rFonts w:eastAsia="Times New Roman" w:cstheme="minorHAnsi"/>
          <w:kern w:val="0"/>
          <w:lang w:eastAsia="en-GB"/>
          <w14:ligatures w14:val="none"/>
        </w:rPr>
      </w:pPr>
      <w:r w:rsidRPr="00A9455E">
        <w:rPr>
          <w:rFonts w:eastAsia="Times New Roman" w:cstheme="minorHAnsi"/>
          <w:b/>
          <w:bCs/>
          <w:kern w:val="0"/>
          <w:lang w:eastAsia="en-GB"/>
          <w14:ligatures w14:val="none"/>
        </w:rPr>
        <w:t>Flexible Documentation Requirements</w:t>
      </w:r>
      <w:r w:rsidRPr="00A9455E">
        <w:rPr>
          <w:rFonts w:eastAsia="Times New Roman" w:cstheme="minorHAnsi"/>
          <w:kern w:val="0"/>
          <w:lang w:eastAsia="en-GB"/>
          <w14:ligatures w14:val="none"/>
        </w:rPr>
        <w:t>: Develop more inclusive documentation requirements that accept various evidence types, including statements of accommodations from secondary schools and AON reports.</w:t>
      </w:r>
    </w:p>
    <w:p w:rsidRPr="00A9455E" w:rsidR="00A9455E" w:rsidP="00A9455E" w:rsidRDefault="00A9455E" w14:paraId="1A45F981" w14:textId="77777777">
      <w:pPr>
        <w:spacing w:before="100" w:beforeAutospacing="1" w:after="100" w:afterAutospacing="1"/>
        <w:outlineLvl w:val="2"/>
        <w:rPr>
          <w:rFonts w:eastAsia="Times New Roman" w:cstheme="minorHAnsi"/>
          <w:b/>
          <w:bCs/>
          <w:kern w:val="0"/>
          <w:lang w:eastAsia="en-GB"/>
          <w14:ligatures w14:val="none"/>
        </w:rPr>
      </w:pPr>
      <w:r w:rsidRPr="00A9455E">
        <w:rPr>
          <w:rFonts w:eastAsia="Times New Roman" w:cstheme="minorHAnsi"/>
          <w:b/>
          <w:bCs/>
          <w:kern w:val="0"/>
          <w:lang w:eastAsia="en-GB"/>
          <w14:ligatures w14:val="none"/>
        </w:rPr>
        <w:t>Enhancing University Disability Services</w:t>
      </w:r>
    </w:p>
    <w:p w:rsidRPr="00A9455E" w:rsidR="00A9455E" w:rsidP="00A9455E" w:rsidRDefault="00A9455E" w14:paraId="09818429" w14:textId="77777777">
      <w:pPr>
        <w:numPr>
          <w:ilvl w:val="0"/>
          <w:numId w:val="5"/>
        </w:numPr>
        <w:spacing w:before="100" w:beforeAutospacing="1" w:after="100" w:afterAutospacing="1"/>
        <w:rPr>
          <w:rFonts w:eastAsia="Times New Roman" w:cstheme="minorHAnsi"/>
          <w:kern w:val="0"/>
          <w:lang w:eastAsia="en-GB"/>
          <w14:ligatures w14:val="none"/>
        </w:rPr>
      </w:pPr>
      <w:r w:rsidRPr="00A9455E">
        <w:rPr>
          <w:rFonts w:eastAsia="Times New Roman" w:cstheme="minorHAnsi"/>
          <w:b/>
          <w:bCs/>
          <w:kern w:val="0"/>
          <w:lang w:eastAsia="en-GB"/>
          <w14:ligatures w14:val="none"/>
        </w:rPr>
        <w:lastRenderedPageBreak/>
        <w:t>Broaden Acceptance of Evidence</w:t>
      </w:r>
      <w:r w:rsidRPr="00A9455E">
        <w:rPr>
          <w:rFonts w:eastAsia="Times New Roman" w:cstheme="minorHAnsi"/>
          <w:kern w:val="0"/>
          <w:lang w:eastAsia="en-GB"/>
          <w14:ligatures w14:val="none"/>
        </w:rPr>
        <w:t>: Train staff to recognize and accept a broader range of documentation for disability support services.</w:t>
      </w:r>
    </w:p>
    <w:p w:rsidRPr="00A9455E" w:rsidR="00A9455E" w:rsidP="00A9455E" w:rsidRDefault="00A9455E" w14:paraId="48B7D882" w14:textId="77777777">
      <w:pPr>
        <w:numPr>
          <w:ilvl w:val="0"/>
          <w:numId w:val="5"/>
        </w:numPr>
        <w:spacing w:before="100" w:beforeAutospacing="1" w:after="100" w:afterAutospacing="1"/>
        <w:rPr>
          <w:rFonts w:eastAsia="Times New Roman" w:cstheme="minorHAnsi"/>
          <w:kern w:val="0"/>
          <w:lang w:eastAsia="en-GB"/>
          <w14:ligatures w14:val="none"/>
        </w:rPr>
      </w:pPr>
      <w:r w:rsidRPr="00A9455E">
        <w:rPr>
          <w:rFonts w:eastAsia="Times New Roman" w:cstheme="minorHAnsi"/>
          <w:b/>
          <w:bCs/>
          <w:kern w:val="0"/>
          <w:lang w:eastAsia="en-GB"/>
          <w14:ligatures w14:val="none"/>
        </w:rPr>
        <w:t>Proactive Engagement</w:t>
      </w:r>
      <w:r w:rsidRPr="00A9455E">
        <w:rPr>
          <w:rFonts w:eastAsia="Times New Roman" w:cstheme="minorHAnsi"/>
          <w:kern w:val="0"/>
          <w:lang w:eastAsia="en-GB"/>
          <w14:ligatures w14:val="none"/>
        </w:rPr>
        <w:t>: Establish proactive engagement strategies with incoming students to identify those who may require accommodations based on their secondary education experiences.</w:t>
      </w:r>
    </w:p>
    <w:p w:rsidRPr="00A9455E" w:rsidR="00A9455E" w:rsidP="00A9455E" w:rsidRDefault="00A9455E" w14:paraId="4FF9D53B" w14:textId="77777777">
      <w:pPr>
        <w:spacing w:before="100" w:beforeAutospacing="1" w:after="100" w:afterAutospacing="1"/>
        <w:outlineLvl w:val="2"/>
        <w:rPr>
          <w:rFonts w:eastAsia="Times New Roman" w:cstheme="minorHAnsi"/>
          <w:b/>
          <w:bCs/>
          <w:kern w:val="0"/>
          <w:lang w:eastAsia="en-GB"/>
          <w14:ligatures w14:val="none"/>
        </w:rPr>
      </w:pPr>
      <w:r w:rsidRPr="00A9455E">
        <w:rPr>
          <w:rFonts w:eastAsia="Times New Roman" w:cstheme="minorHAnsi"/>
          <w:b/>
          <w:bCs/>
          <w:kern w:val="0"/>
          <w:lang w:eastAsia="en-GB"/>
          <w14:ligatures w14:val="none"/>
        </w:rPr>
        <w:t>Implementing Universal Design for Learning (UDL)</w:t>
      </w:r>
    </w:p>
    <w:p w:rsidRPr="00A9455E" w:rsidR="00A9455E" w:rsidP="00A9455E" w:rsidRDefault="00A9455E" w14:paraId="3E7628C0" w14:textId="77777777">
      <w:pPr>
        <w:numPr>
          <w:ilvl w:val="0"/>
          <w:numId w:val="6"/>
        </w:numPr>
        <w:spacing w:before="100" w:beforeAutospacing="1" w:after="100" w:afterAutospacing="1"/>
        <w:rPr>
          <w:rFonts w:eastAsia="Times New Roman" w:cstheme="minorHAnsi"/>
          <w:kern w:val="0"/>
          <w:lang w:eastAsia="en-GB"/>
          <w14:ligatures w14:val="none"/>
        </w:rPr>
      </w:pPr>
      <w:r w:rsidRPr="00A9455E">
        <w:rPr>
          <w:rFonts w:eastAsia="Times New Roman" w:cstheme="minorHAnsi"/>
          <w:b/>
          <w:bCs/>
          <w:kern w:val="0"/>
          <w:lang w:eastAsia="en-GB"/>
          <w14:ligatures w14:val="none"/>
        </w:rPr>
        <w:t>Incorporate UDL Principles</w:t>
      </w:r>
      <w:r w:rsidRPr="00A9455E">
        <w:rPr>
          <w:rFonts w:eastAsia="Times New Roman" w:cstheme="minorHAnsi"/>
          <w:kern w:val="0"/>
          <w:lang w:eastAsia="en-GB"/>
          <w14:ligatures w14:val="none"/>
        </w:rPr>
        <w:t>: Revise curricular and instructional designs to incorporate UDL principles, ensuring that learning environments accommodate a wide range of learners.</w:t>
      </w:r>
    </w:p>
    <w:p w:rsidRPr="00A9455E" w:rsidR="00A9455E" w:rsidP="00A9455E" w:rsidRDefault="00A9455E" w14:paraId="5606324E" w14:textId="77777777">
      <w:pPr>
        <w:numPr>
          <w:ilvl w:val="0"/>
          <w:numId w:val="6"/>
        </w:numPr>
        <w:spacing w:before="100" w:beforeAutospacing="1" w:after="100" w:afterAutospacing="1"/>
        <w:rPr>
          <w:rFonts w:eastAsia="Times New Roman" w:cstheme="minorHAnsi"/>
          <w:kern w:val="0"/>
          <w:lang w:eastAsia="en-GB"/>
          <w14:ligatures w14:val="none"/>
        </w:rPr>
      </w:pPr>
      <w:r w:rsidRPr="00A9455E">
        <w:rPr>
          <w:rFonts w:eastAsia="Times New Roman" w:cstheme="minorHAnsi"/>
          <w:b/>
          <w:bCs/>
          <w:kern w:val="0"/>
          <w:lang w:eastAsia="en-GB"/>
          <w14:ligatures w14:val="none"/>
        </w:rPr>
        <w:t>Faculty Development</w:t>
      </w:r>
      <w:r w:rsidRPr="00A9455E">
        <w:rPr>
          <w:rFonts w:eastAsia="Times New Roman" w:cstheme="minorHAnsi"/>
          <w:kern w:val="0"/>
          <w:lang w:eastAsia="en-GB"/>
          <w14:ligatures w14:val="none"/>
        </w:rPr>
        <w:t>: Provide faculty with training and resources to implement UDL in their teaching practices effectively.</w:t>
      </w:r>
    </w:p>
    <w:p w:rsidRPr="00A9455E" w:rsidR="00A9455E" w:rsidP="00A9455E" w:rsidRDefault="00A9455E" w14:paraId="46C4AB09" w14:textId="77777777">
      <w:pPr>
        <w:spacing w:before="100" w:beforeAutospacing="1" w:after="100" w:afterAutospacing="1"/>
        <w:outlineLvl w:val="2"/>
        <w:rPr>
          <w:rFonts w:eastAsia="Times New Roman" w:cstheme="minorHAnsi"/>
          <w:b/>
          <w:bCs/>
          <w:kern w:val="0"/>
          <w:lang w:eastAsia="en-GB"/>
          <w14:ligatures w14:val="none"/>
        </w:rPr>
      </w:pPr>
      <w:r w:rsidRPr="00A9455E">
        <w:rPr>
          <w:rFonts w:eastAsia="Times New Roman" w:cstheme="minorHAnsi"/>
          <w:b/>
          <w:bCs/>
          <w:kern w:val="0"/>
          <w:lang w:eastAsia="en-GB"/>
          <w14:ligatures w14:val="none"/>
        </w:rPr>
        <w:t>Collaborating with Secondary Education Stakeholders</w:t>
      </w:r>
    </w:p>
    <w:p w:rsidRPr="00A9455E" w:rsidR="00A9455E" w:rsidP="00A9455E" w:rsidRDefault="00A9455E" w14:paraId="01E243CD" w14:textId="77777777">
      <w:pPr>
        <w:numPr>
          <w:ilvl w:val="0"/>
          <w:numId w:val="7"/>
        </w:numPr>
        <w:spacing w:before="100" w:beforeAutospacing="1" w:after="100" w:afterAutospacing="1"/>
        <w:rPr>
          <w:rFonts w:eastAsia="Times New Roman" w:cstheme="minorHAnsi"/>
          <w:kern w:val="0"/>
          <w:lang w:eastAsia="en-GB"/>
          <w14:ligatures w14:val="none"/>
        </w:rPr>
      </w:pPr>
      <w:r w:rsidRPr="00A9455E">
        <w:rPr>
          <w:rFonts w:eastAsia="Times New Roman" w:cstheme="minorHAnsi"/>
          <w:b/>
          <w:bCs/>
          <w:kern w:val="0"/>
          <w:lang w:eastAsia="en-GB"/>
          <w14:ligatures w14:val="none"/>
        </w:rPr>
        <w:t>Establish Communication Channels</w:t>
      </w:r>
      <w:r w:rsidRPr="00A9455E">
        <w:rPr>
          <w:rFonts w:eastAsia="Times New Roman" w:cstheme="minorHAnsi"/>
          <w:kern w:val="0"/>
          <w:lang w:eastAsia="en-GB"/>
          <w14:ligatures w14:val="none"/>
        </w:rPr>
        <w:t>: Create formal channels for communication and collaboration with secondary education institutions to facilitate a smooth transition for students requiring accommodations.</w:t>
      </w:r>
    </w:p>
    <w:p w:rsidRPr="00A9455E" w:rsidR="00A9455E" w:rsidP="00A9455E" w:rsidRDefault="00A9455E" w14:paraId="604FC68B" w14:textId="77777777">
      <w:pPr>
        <w:numPr>
          <w:ilvl w:val="0"/>
          <w:numId w:val="7"/>
        </w:numPr>
        <w:spacing w:before="100" w:beforeAutospacing="1" w:after="100" w:afterAutospacing="1"/>
        <w:rPr>
          <w:rFonts w:eastAsia="Times New Roman" w:cstheme="minorHAnsi"/>
          <w:kern w:val="0"/>
          <w:lang w:eastAsia="en-GB"/>
          <w14:ligatures w14:val="none"/>
        </w:rPr>
      </w:pPr>
      <w:r w:rsidRPr="00A9455E">
        <w:rPr>
          <w:rFonts w:eastAsia="Times New Roman" w:cstheme="minorHAnsi"/>
          <w:b/>
          <w:bCs/>
          <w:kern w:val="0"/>
          <w:lang w:eastAsia="en-GB"/>
          <w14:ligatures w14:val="none"/>
        </w:rPr>
        <w:t>Share Best Practices</w:t>
      </w:r>
      <w:r w:rsidRPr="00A9455E">
        <w:rPr>
          <w:rFonts w:eastAsia="Times New Roman" w:cstheme="minorHAnsi"/>
          <w:kern w:val="0"/>
          <w:lang w:eastAsia="en-GB"/>
          <w14:ligatures w14:val="none"/>
        </w:rPr>
        <w:t>: Engage in the exchange of best practices with secondary education providers regarding the assessment and accommodation of students with SEND.</w:t>
      </w:r>
    </w:p>
    <w:p w:rsidRPr="00A9455E" w:rsidR="00A9455E" w:rsidP="00A9455E" w:rsidRDefault="00A9455E" w14:paraId="6F80AFBE" w14:textId="77777777">
      <w:pPr>
        <w:spacing w:before="100" w:beforeAutospacing="1" w:after="100" w:afterAutospacing="1"/>
        <w:outlineLvl w:val="2"/>
        <w:rPr>
          <w:rFonts w:eastAsia="Times New Roman" w:cstheme="minorHAnsi"/>
          <w:b/>
          <w:bCs/>
          <w:kern w:val="0"/>
          <w:lang w:eastAsia="en-GB"/>
          <w14:ligatures w14:val="none"/>
        </w:rPr>
      </w:pPr>
      <w:r w:rsidRPr="00A9455E">
        <w:rPr>
          <w:rFonts w:eastAsia="Times New Roman" w:cstheme="minorHAnsi"/>
          <w:b/>
          <w:bCs/>
          <w:kern w:val="0"/>
          <w:lang w:eastAsia="en-GB"/>
          <w14:ligatures w14:val="none"/>
        </w:rPr>
        <w:t>Policy Review and Continuous Improvement</w:t>
      </w:r>
    </w:p>
    <w:p w:rsidRPr="00A9455E" w:rsidR="00A9455E" w:rsidP="00A9455E" w:rsidRDefault="00A9455E" w14:paraId="36E2F66C" w14:textId="77777777">
      <w:pPr>
        <w:numPr>
          <w:ilvl w:val="0"/>
          <w:numId w:val="8"/>
        </w:numPr>
        <w:spacing w:before="100" w:beforeAutospacing="1" w:after="100" w:afterAutospacing="1"/>
        <w:rPr>
          <w:rFonts w:eastAsia="Times New Roman" w:cstheme="minorHAnsi"/>
          <w:kern w:val="0"/>
          <w:lang w:eastAsia="en-GB"/>
          <w14:ligatures w14:val="none"/>
        </w:rPr>
      </w:pPr>
      <w:r w:rsidRPr="00A9455E">
        <w:rPr>
          <w:rFonts w:eastAsia="Times New Roman" w:cstheme="minorHAnsi"/>
          <w:b/>
          <w:bCs/>
          <w:kern w:val="0"/>
          <w:lang w:eastAsia="en-GB"/>
          <w14:ligatures w14:val="none"/>
        </w:rPr>
        <w:t>Regular Policy Review</w:t>
      </w:r>
      <w:r w:rsidRPr="00A9455E">
        <w:rPr>
          <w:rFonts w:eastAsia="Times New Roman" w:cstheme="minorHAnsi"/>
          <w:kern w:val="0"/>
          <w:lang w:eastAsia="en-GB"/>
          <w14:ligatures w14:val="none"/>
        </w:rPr>
        <w:t>: Regularly review and update policies related to disability support and accommodations to ensure they reflect current practices in secondary education and legal requirements.</w:t>
      </w:r>
    </w:p>
    <w:p w:rsidRPr="00A9455E" w:rsidR="00A9455E" w:rsidP="00A9455E" w:rsidRDefault="00A9455E" w14:paraId="3C146460" w14:textId="77777777">
      <w:pPr>
        <w:numPr>
          <w:ilvl w:val="0"/>
          <w:numId w:val="8"/>
        </w:numPr>
        <w:spacing w:before="100" w:beforeAutospacing="1" w:after="100" w:afterAutospacing="1"/>
        <w:rPr>
          <w:rFonts w:eastAsia="Times New Roman" w:cstheme="minorHAnsi"/>
          <w:kern w:val="0"/>
          <w:lang w:eastAsia="en-GB"/>
          <w14:ligatures w14:val="none"/>
        </w:rPr>
      </w:pPr>
      <w:r w:rsidRPr="00A9455E">
        <w:rPr>
          <w:rFonts w:eastAsia="Times New Roman" w:cstheme="minorHAnsi"/>
          <w:b/>
          <w:bCs/>
          <w:kern w:val="0"/>
          <w:lang w:eastAsia="en-GB"/>
          <w14:ligatures w14:val="none"/>
        </w:rPr>
        <w:t>Stakeholder Feedback</w:t>
      </w:r>
      <w:r w:rsidRPr="00A9455E">
        <w:rPr>
          <w:rFonts w:eastAsia="Times New Roman" w:cstheme="minorHAnsi"/>
          <w:kern w:val="0"/>
          <w:lang w:eastAsia="en-GB"/>
          <w14:ligatures w14:val="none"/>
        </w:rPr>
        <w:t>: Incorporate feedback from students, faculty, and disability services staff into policy revisions to ensure that accommodations effectively support students' needs.</w:t>
      </w:r>
    </w:p>
    <w:p w:rsidRPr="00A9455E" w:rsidR="00A9455E" w:rsidP="00A9455E" w:rsidRDefault="00A9455E" w14:paraId="755B9A3A" w14:textId="77777777">
      <w:pPr>
        <w:spacing w:before="100" w:beforeAutospacing="1" w:after="100" w:afterAutospacing="1"/>
        <w:outlineLvl w:val="2"/>
        <w:rPr>
          <w:rFonts w:eastAsia="Times New Roman" w:cstheme="minorHAnsi"/>
          <w:b/>
          <w:bCs/>
          <w:kern w:val="0"/>
          <w:lang w:eastAsia="en-GB"/>
          <w14:ligatures w14:val="none"/>
        </w:rPr>
      </w:pPr>
      <w:r w:rsidRPr="00A9455E">
        <w:rPr>
          <w:rFonts w:eastAsia="Times New Roman" w:cstheme="minorHAnsi"/>
          <w:b/>
          <w:bCs/>
          <w:kern w:val="0"/>
          <w:lang w:eastAsia="en-GB"/>
          <w14:ligatures w14:val="none"/>
        </w:rPr>
        <w:t>Supporting Transitioning Students</w:t>
      </w:r>
    </w:p>
    <w:p w:rsidRPr="00A9455E" w:rsidR="00A9455E" w:rsidP="00A9455E" w:rsidRDefault="00A9455E" w14:paraId="56389DBA" w14:textId="77777777">
      <w:pPr>
        <w:numPr>
          <w:ilvl w:val="0"/>
          <w:numId w:val="9"/>
        </w:numPr>
        <w:spacing w:before="100" w:beforeAutospacing="1" w:after="100" w:afterAutospacing="1"/>
        <w:rPr>
          <w:rFonts w:eastAsia="Times New Roman" w:cstheme="minorHAnsi"/>
          <w:kern w:val="0"/>
          <w:lang w:eastAsia="en-GB"/>
          <w14:ligatures w14:val="none"/>
        </w:rPr>
      </w:pPr>
      <w:r w:rsidRPr="00A9455E">
        <w:rPr>
          <w:rFonts w:eastAsia="Times New Roman" w:cstheme="minorHAnsi"/>
          <w:b/>
          <w:bCs/>
          <w:kern w:val="0"/>
          <w:lang w:eastAsia="en-GB"/>
          <w14:ligatures w14:val="none"/>
        </w:rPr>
        <w:t>Transition Support Programs</w:t>
      </w:r>
      <w:r w:rsidRPr="00A9455E">
        <w:rPr>
          <w:rFonts w:eastAsia="Times New Roman" w:cstheme="minorHAnsi"/>
          <w:kern w:val="0"/>
          <w:lang w:eastAsia="en-GB"/>
          <w14:ligatures w14:val="none"/>
        </w:rPr>
        <w:t>: Develop and offer transition support programs for incoming students with disabilities to orient them to university-level accommodations and support services.</w:t>
      </w:r>
    </w:p>
    <w:p w:rsidRPr="00A9455E" w:rsidR="00A9455E" w:rsidP="00A9455E" w:rsidRDefault="00A9455E" w14:paraId="5507CFBF" w14:textId="77777777">
      <w:pPr>
        <w:numPr>
          <w:ilvl w:val="0"/>
          <w:numId w:val="9"/>
        </w:numPr>
        <w:spacing w:before="100" w:beforeAutospacing="1" w:after="100" w:afterAutospacing="1"/>
        <w:rPr>
          <w:rFonts w:eastAsia="Times New Roman" w:cstheme="minorHAnsi"/>
          <w:kern w:val="0"/>
          <w:lang w:eastAsia="en-GB"/>
          <w14:ligatures w14:val="none"/>
        </w:rPr>
      </w:pPr>
      <w:r w:rsidRPr="00A9455E">
        <w:rPr>
          <w:rFonts w:eastAsia="Times New Roman" w:cstheme="minorHAnsi"/>
          <w:b/>
          <w:bCs/>
          <w:kern w:val="0"/>
          <w:lang w:eastAsia="en-GB"/>
          <w14:ligatures w14:val="none"/>
        </w:rPr>
        <w:t>Enhanced Orientation</w:t>
      </w:r>
      <w:r w:rsidRPr="00A9455E">
        <w:rPr>
          <w:rFonts w:eastAsia="Times New Roman" w:cstheme="minorHAnsi"/>
          <w:kern w:val="0"/>
          <w:lang w:eastAsia="en-GB"/>
          <w14:ligatures w14:val="none"/>
        </w:rPr>
        <w:t>: Include specific sessions or materials in orientation programs addressing the needs and support available for students with disabilities.</w:t>
      </w:r>
    </w:p>
    <w:p w:rsidRPr="00A9455E" w:rsidR="00A9455E" w:rsidP="00A9455E" w:rsidRDefault="00A9455E" w14:paraId="27B9B0CC" w14:textId="77777777">
      <w:pPr>
        <w:spacing w:before="100" w:beforeAutospacing="1" w:after="100" w:afterAutospacing="1"/>
        <w:outlineLvl w:val="1"/>
        <w:rPr>
          <w:rFonts w:eastAsia="Times New Roman" w:cstheme="minorHAnsi"/>
          <w:b/>
          <w:bCs/>
          <w:kern w:val="0"/>
          <w:lang w:eastAsia="en-GB"/>
          <w14:ligatures w14:val="none"/>
        </w:rPr>
      </w:pPr>
      <w:r w:rsidRPr="00A9455E">
        <w:rPr>
          <w:rFonts w:eastAsia="Times New Roman" w:cstheme="minorHAnsi"/>
          <w:b/>
          <w:bCs/>
          <w:kern w:val="0"/>
          <w:lang w:eastAsia="en-GB"/>
          <w14:ligatures w14:val="none"/>
        </w:rPr>
        <w:t>Conclusion</w:t>
      </w:r>
    </w:p>
    <w:p w:rsidRPr="00A9455E" w:rsidR="00A9455E" w:rsidP="00A9455E" w:rsidRDefault="00A9455E" w14:paraId="19C056DB" w14:textId="77777777">
      <w:pPr>
        <w:spacing w:before="100" w:beforeAutospacing="1" w:after="100" w:afterAutospacing="1"/>
        <w:rPr>
          <w:rFonts w:eastAsia="Times New Roman" w:cstheme="minorHAnsi"/>
          <w:kern w:val="0"/>
          <w:lang w:eastAsia="en-GB"/>
          <w14:ligatures w14:val="none"/>
        </w:rPr>
      </w:pPr>
      <w:r w:rsidRPr="13BFECF1" w:rsidR="00A9455E">
        <w:rPr>
          <w:rFonts w:eastAsia="Times New Roman" w:cs="Calibri" w:cstheme="minorAscii"/>
          <w:kern w:val="0"/>
          <w:lang w:eastAsia="en-GB"/>
          <w14:ligatures w14:val="none"/>
        </w:rPr>
        <w:t xml:space="preserve">As secondary education continues to evolve in its approach to supporting students with disabilities, universities must adapt their policies and practices to ensure these students have equitable access to higher education. By embracing flexible documentation requirements, implementing universal design principles, and enhancing disability services, universities can provide a supportive and inclusive educational environment for all students. </w:t>
      </w:r>
      <w:r w:rsidRPr="13BFECF1" w:rsidR="00A9455E">
        <w:rPr>
          <w:rFonts w:eastAsia="Times New Roman" w:cs="Calibri" w:cstheme="minorAscii"/>
          <w:kern w:val="0"/>
          <w:lang w:eastAsia="en-GB"/>
          <w14:ligatures w14:val="none"/>
        </w:rPr>
        <w:lastRenderedPageBreak/>
        <w:t>Collaboration between secondary and higher education institutions, continuous policy review, and stakeholder engagement will be crucial in navigating these changes effectively.</w:t>
      </w:r>
    </w:p>
    <w:p w:rsidR="13BFECF1" w:rsidP="13BFECF1" w:rsidRDefault="13BFECF1" w14:paraId="7DB5F449" w14:textId="232D9BFC">
      <w:pPr>
        <w:pStyle w:val="Heading2"/>
      </w:pPr>
    </w:p>
    <w:p w:rsidRPr="00B768DF" w:rsidR="00A9455E" w:rsidP="00A9455E" w:rsidRDefault="00A9455E" w14:paraId="2081565B" w14:textId="77777777">
      <w:pPr>
        <w:pStyle w:val="Heading2"/>
      </w:pPr>
      <w:r w:rsidRPr="00B768DF">
        <w:t>Policy changes in second-level education in Ireland</w:t>
      </w:r>
    </w:p>
    <w:p w:rsidRPr="00B768DF" w:rsidR="00A9455E" w:rsidP="00A9455E" w:rsidRDefault="00A9455E" w14:paraId="1CDAA911" w14:textId="77777777">
      <w:pPr>
        <w:jc w:val="center"/>
        <w:textAlignment w:val="baseline"/>
        <w:rPr>
          <w:rFonts w:eastAsia="Times New Roman" w:cstheme="minorHAnsi"/>
          <w:b/>
          <w:color w:val="000000"/>
          <w:kern w:val="0"/>
          <w:lang w:eastAsia="en-GB"/>
          <w14:ligatures w14:val="none"/>
        </w:rPr>
      </w:pPr>
    </w:p>
    <w:p w:rsidRPr="00AB254B" w:rsidR="00A9455E" w:rsidP="00A9455E" w:rsidRDefault="00A9455E" w14:paraId="0B94BA02" w14:textId="77777777">
      <w:pPr>
        <w:textAlignment w:val="baseline"/>
        <w:rPr>
          <w:rFonts w:eastAsia="Times New Roman"/>
          <w:kern w:val="0"/>
          <w:lang w:eastAsia="en-GB"/>
          <w14:ligatures w14:val="none"/>
        </w:rPr>
      </w:pPr>
      <w:r w:rsidRPr="139FC099">
        <w:rPr>
          <w:rFonts w:eastAsia="Times New Roman"/>
          <w:kern w:val="0"/>
          <w:lang w:eastAsia="en-GB"/>
          <w14:ligatures w14:val="none"/>
        </w:rPr>
        <w:t>Several policy changes introduced by the Department of Education over the past five years are likely to significantly impact the provision of evidence of disability by prospective and incoming students, as required for funding purposes.  These are set out in the following sections. </w:t>
      </w:r>
    </w:p>
    <w:p w:rsidR="00A9455E" w:rsidP="00A9455E" w:rsidRDefault="00A9455E" w14:paraId="63B0A77B" w14:textId="77777777">
      <w:pPr>
        <w:textAlignment w:val="baseline"/>
        <w:rPr>
          <w:rFonts w:eastAsia="Times New Roman" w:cstheme="minorHAnsi"/>
          <w:b/>
          <w:bCs/>
          <w:kern w:val="0"/>
          <w:lang w:val="en-US" w:eastAsia="en-GB"/>
          <w14:ligatures w14:val="none"/>
        </w:rPr>
      </w:pPr>
    </w:p>
    <w:p w:rsidRPr="00AB254B" w:rsidR="00A9455E" w:rsidP="00A9455E" w:rsidRDefault="00A9455E" w14:paraId="0B1601D6" w14:textId="77777777">
      <w:pPr>
        <w:textAlignment w:val="baseline"/>
        <w:rPr>
          <w:rFonts w:eastAsia="Times New Roman" w:cstheme="minorHAnsi"/>
          <w:b/>
          <w:bCs/>
          <w:kern w:val="0"/>
          <w:lang w:eastAsia="en-GB"/>
          <w14:ligatures w14:val="none"/>
        </w:rPr>
      </w:pPr>
      <w:r w:rsidRPr="00AB254B">
        <w:rPr>
          <w:rFonts w:eastAsia="Times New Roman" w:cstheme="minorHAnsi"/>
          <w:b/>
          <w:bCs/>
          <w:kern w:val="0"/>
          <w:lang w:val="en-US" w:eastAsia="en-GB"/>
          <w14:ligatures w14:val="none"/>
        </w:rPr>
        <w:t>Reasonable Accommodations at Certificate Examinations (RACE)</w:t>
      </w:r>
      <w:r w:rsidRPr="00AB254B">
        <w:rPr>
          <w:rFonts w:eastAsia="Times New Roman" w:cstheme="minorHAnsi"/>
          <w:b/>
          <w:bCs/>
          <w:kern w:val="0"/>
          <w:lang w:eastAsia="en-GB"/>
          <w14:ligatures w14:val="none"/>
        </w:rPr>
        <w:t> </w:t>
      </w:r>
    </w:p>
    <w:p w:rsidRPr="00AB254B" w:rsidR="00A9455E" w:rsidP="00A9455E" w:rsidRDefault="00A9455E" w14:paraId="665134A6" w14:textId="77777777">
      <w:pPr>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 </w:t>
      </w:r>
    </w:p>
    <w:p w:rsidRPr="00AB254B" w:rsidR="00A9455E" w:rsidP="00A9455E" w:rsidRDefault="00A9455E" w14:paraId="545DB033" w14:textId="77777777">
      <w:pPr>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The scheme of Reasonable Accommodations at the Certificate Examinations (RACE) facilitates post-primary students who would have difficulty in accessing the examination or communicating what they know to an examiner due to a physical, visual, hearing and/or learning difficulty. The scheme assists candidates with SEND to demonstrate their learning without compromising the integrity of the assessment. The focus of the scheme is on removing barriers to access, while retaining the need to assess the same underlying skills and competencies as are assessed for all other candidates, and to apply the same standards of achievement as apply to all other candidates.  The scheme provides accommodations for students with a variety of complex special educational needs including learning difficulties as well as permanent or temporary physical, visual, hearing, medical, sensory, emotional, behavioural or other conditions. </w:t>
      </w:r>
    </w:p>
    <w:p w:rsidRPr="00AB254B" w:rsidR="00A9455E" w:rsidP="00A9455E" w:rsidRDefault="00A9455E" w14:paraId="293D83F3" w14:textId="77777777">
      <w:pPr>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 </w:t>
      </w:r>
    </w:p>
    <w:p w:rsidRPr="00AB254B" w:rsidR="00A9455E" w:rsidP="00A9455E" w:rsidRDefault="00A9455E" w14:paraId="37FBB893" w14:textId="77777777">
      <w:pPr>
        <w:textAlignment w:val="baseline"/>
        <w:rPr>
          <w:rFonts w:eastAsia="Times New Roman"/>
          <w:kern w:val="0"/>
          <w:lang w:eastAsia="en-GB"/>
          <w14:ligatures w14:val="none"/>
        </w:rPr>
      </w:pPr>
      <w:r w:rsidRPr="139FC099">
        <w:rPr>
          <w:rFonts w:eastAsia="Times New Roman"/>
          <w:kern w:val="0"/>
          <w:lang w:eastAsia="en-GB"/>
          <w14:ligatures w14:val="none"/>
        </w:rPr>
        <w:t xml:space="preserve">In 2017, the State Examinations Commission (SEC) made significant changes to the RACE scheme changing the emphasis on the application process from Leaving Certificate to Junior Certificate in that if accommodations are granted at Junior Cert level there is an assumed need for them to be retained for Leaving Cert, once the SEC are satisfied that the need is still present.  Where previously this evidence had to be provided by external professionals (e.g., a psychoeducational assessment by an Educational Psychologist for Specific Learning Difficulty), the new regulations permitted schools to use </w:t>
      </w:r>
      <w:hyperlink w:history="1" r:id="rId5">
        <w:r w:rsidRPr="00F310AD">
          <w:rPr>
            <w:rStyle w:val="Hyperlink"/>
            <w:rFonts w:eastAsia="Times New Roman"/>
            <w:kern w:val="0"/>
            <w:lang w:eastAsia="en-GB"/>
            <w14:ligatures w14:val="none"/>
          </w:rPr>
          <w:t>school-based assessments</w:t>
        </w:r>
      </w:hyperlink>
      <w:r w:rsidRPr="139FC099">
        <w:rPr>
          <w:rFonts w:eastAsia="Times New Roman"/>
          <w:kern w:val="0"/>
          <w:lang w:eastAsia="en-GB"/>
          <w14:ligatures w14:val="none"/>
        </w:rPr>
        <w:t xml:space="preserve"> to apply for accommodations in State exams.  This removed the necessity for parents to purchase expensive assessments and diagnostic reports as part of the application process.   </w:t>
      </w:r>
    </w:p>
    <w:p w:rsidRPr="00AB254B" w:rsidR="00A9455E" w:rsidP="00A9455E" w:rsidRDefault="00A9455E" w14:paraId="4EE4BB30" w14:textId="77777777">
      <w:pPr>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 </w:t>
      </w:r>
    </w:p>
    <w:p w:rsidRPr="00AB254B" w:rsidR="00A9455E" w:rsidP="00A9455E" w:rsidRDefault="00A9455E" w14:paraId="37EE0DD5" w14:textId="77777777">
      <w:pPr>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In practice, this means that many students entering third-level settings request registration with the Disability Service and access to the same Reasonable Accommodations provided for the Leaving Certificate, with only a statement of examination accommodations issued by the SEC. </w:t>
      </w:r>
    </w:p>
    <w:p w:rsidRPr="00AB254B" w:rsidR="00A9455E" w:rsidP="00A9455E" w:rsidRDefault="00A9455E" w14:paraId="429585B6" w14:textId="77777777">
      <w:pPr>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 </w:t>
      </w:r>
    </w:p>
    <w:p w:rsidR="00A9455E" w:rsidP="00A9455E" w:rsidRDefault="00A9455E" w14:paraId="7D376F14" w14:textId="77777777">
      <w:pPr>
        <w:textAlignment w:val="baseline"/>
        <w:rPr>
          <w:rFonts w:eastAsia="Times New Roman" w:cstheme="minorHAnsi"/>
          <w:b/>
          <w:bCs/>
          <w:kern w:val="0"/>
          <w:lang w:eastAsia="en-GB"/>
          <w14:ligatures w14:val="none"/>
        </w:rPr>
      </w:pPr>
      <w:r w:rsidRPr="00AB254B">
        <w:rPr>
          <w:rFonts w:eastAsia="Times New Roman" w:cstheme="minorHAnsi"/>
          <w:b/>
          <w:bCs/>
          <w:kern w:val="0"/>
          <w:lang w:val="en-US" w:eastAsia="en-GB"/>
          <w14:ligatures w14:val="none"/>
        </w:rPr>
        <w:t>School Inclusion Model</w:t>
      </w:r>
      <w:r w:rsidRPr="00AB254B">
        <w:rPr>
          <w:rFonts w:eastAsia="Times New Roman" w:cstheme="minorHAnsi"/>
          <w:b/>
          <w:bCs/>
          <w:kern w:val="0"/>
          <w:lang w:eastAsia="en-GB"/>
          <w14:ligatures w14:val="none"/>
        </w:rPr>
        <w:t> </w:t>
      </w:r>
    </w:p>
    <w:p w:rsidR="00A9455E" w:rsidP="00A9455E" w:rsidRDefault="00A9455E" w14:paraId="52AD5BE8" w14:textId="77777777">
      <w:pPr>
        <w:textAlignment w:val="baseline"/>
        <w:rPr>
          <w:rFonts w:eastAsia="Times New Roman" w:cstheme="minorHAnsi"/>
          <w:b/>
          <w:bCs/>
          <w:kern w:val="0"/>
          <w:lang w:eastAsia="en-GB"/>
          <w14:ligatures w14:val="none"/>
        </w:rPr>
      </w:pPr>
    </w:p>
    <w:p w:rsidRPr="00AB254B" w:rsidR="00A9455E" w:rsidP="00A9455E" w:rsidRDefault="00A9455E" w14:paraId="5FABC70B" w14:textId="77777777">
      <w:pPr>
        <w:textAlignment w:val="baseline"/>
        <w:rPr>
          <w:rFonts w:eastAsia="Times New Roman"/>
          <w:kern w:val="0"/>
          <w:lang w:eastAsia="en-GB"/>
          <w14:ligatures w14:val="none"/>
        </w:rPr>
      </w:pPr>
      <w:r>
        <w:rPr>
          <w:rFonts w:eastAsia="Times New Roman"/>
          <w:kern w:val="0"/>
          <w:lang w:eastAsia="en-GB"/>
          <w14:ligatures w14:val="none"/>
        </w:rPr>
        <w:t>I</w:t>
      </w:r>
      <w:r w:rsidRPr="139FC099">
        <w:rPr>
          <w:rFonts w:eastAsia="Times New Roman"/>
          <w:kern w:val="0"/>
          <w:lang w:eastAsia="en-GB"/>
          <w14:ligatures w14:val="none"/>
        </w:rPr>
        <w:t>n 2018 the National Council for Special Education</w:t>
      </w:r>
      <w:r>
        <w:rPr>
          <w:rFonts w:eastAsia="Times New Roman"/>
          <w:kern w:val="0"/>
          <w:lang w:eastAsia="en-GB"/>
          <w14:ligatures w14:val="none"/>
        </w:rPr>
        <w:t xml:space="preserve"> (NCSE</w:t>
      </w:r>
      <w:r w:rsidRPr="139FC099">
        <w:rPr>
          <w:rFonts w:eastAsia="Times New Roman"/>
          <w:kern w:val="0"/>
          <w:lang w:eastAsia="en-GB"/>
          <w14:ligatures w14:val="none"/>
        </w:rPr>
        <w:t xml:space="preserve">) </w:t>
      </w:r>
      <w:r>
        <w:rPr>
          <w:rFonts w:eastAsia="Times New Roman"/>
          <w:kern w:val="0"/>
          <w:lang w:eastAsia="en-GB"/>
          <w14:ligatures w14:val="none"/>
        </w:rPr>
        <w:t>piloted the</w:t>
      </w:r>
      <w:r w:rsidRPr="139FC099">
        <w:rPr>
          <w:rFonts w:eastAsia="Times New Roman"/>
          <w:kern w:val="0"/>
          <w:lang w:eastAsia="en-GB"/>
          <w14:ligatures w14:val="none"/>
        </w:rPr>
        <w:t xml:space="preserve"> new </w:t>
      </w:r>
      <w:hyperlink w:history="1" r:id="rId6">
        <w:r w:rsidRPr="00FA7C5D">
          <w:rPr>
            <w:rStyle w:val="Hyperlink"/>
            <w:rFonts w:eastAsia="Times New Roman"/>
            <w:kern w:val="0"/>
            <w:lang w:eastAsia="en-GB"/>
            <w14:ligatures w14:val="none"/>
          </w:rPr>
          <w:t>School Inclusion Model</w:t>
        </w:r>
      </w:hyperlink>
      <w:r w:rsidRPr="139FC099">
        <w:rPr>
          <w:rFonts w:eastAsia="Times New Roman"/>
          <w:kern w:val="0"/>
          <w:lang w:eastAsia="en-GB"/>
          <w14:ligatures w14:val="none"/>
        </w:rPr>
        <w:t xml:space="preserve"> based on the premise that students with additional needs required timely and relevant support from a range of professionals based on individual need rather than a disability diagnosis, this model being more equitable as it provides immediate and consistent access to supports.  Schools deploy supports based on the Continuum of Support </w:t>
      </w:r>
      <w:r w:rsidRPr="139FC099">
        <w:rPr>
          <w:rFonts w:eastAsia="Times New Roman"/>
          <w:kern w:val="0"/>
          <w:lang w:eastAsia="en-GB"/>
          <w14:ligatures w14:val="none"/>
        </w:rPr>
        <w:lastRenderedPageBreak/>
        <w:t>Framework which is delivered by the school in collaboration with the National Educational Psychology Service (NEPS) who work with school staff to identify levels of individual need and appropriate interventions which are not based on formal diagnosis of SEND.  The Continuum of Support provides a framework for schools to enable them to identify and respond to student’s needs in a flexible way. This process is also supported through engagement with external professionals, as required by collecting information that will inform what level of support is required, as follows: </w:t>
      </w:r>
    </w:p>
    <w:p w:rsidRPr="00AB254B" w:rsidR="00A9455E" w:rsidP="00A9455E" w:rsidRDefault="00A9455E" w14:paraId="5BFFE32F" w14:textId="77777777">
      <w:pPr>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 </w:t>
      </w:r>
    </w:p>
    <w:p w:rsidRPr="00AB254B" w:rsidR="00A9455E" w:rsidP="00A9455E" w:rsidRDefault="00A9455E" w14:paraId="02BB7B63" w14:textId="77777777">
      <w:pPr>
        <w:jc w:val="center"/>
        <w:textAlignment w:val="baseline"/>
        <w:rPr>
          <w:rFonts w:eastAsia="Times New Roman" w:cstheme="minorHAnsi"/>
          <w:kern w:val="0"/>
          <w:lang w:eastAsia="en-GB"/>
          <w14:ligatures w14:val="none"/>
        </w:rPr>
      </w:pPr>
      <w:r w:rsidRPr="00AB254B">
        <w:rPr>
          <w:rFonts w:eastAsia="Times New Roman" w:cstheme="minorHAnsi"/>
          <w:b/>
          <w:bCs/>
          <w:kern w:val="0"/>
          <w:lang w:val="en-US" w:eastAsia="en-GB"/>
          <w14:ligatures w14:val="none"/>
        </w:rPr>
        <w:t>Identification of Educational Needs through the Continuum of Support Process</w:t>
      </w:r>
      <w:r w:rsidRPr="00AB254B">
        <w:rPr>
          <w:rFonts w:eastAsia="Times New Roman" w:cstheme="minorHAnsi"/>
          <w:kern w:val="0"/>
          <w:lang w:eastAsia="en-GB"/>
          <w14:ligatures w14:val="none"/>
        </w:rPr>
        <w:t> </w:t>
      </w:r>
    </w:p>
    <w:p w:rsidRPr="00AB254B" w:rsidR="00A9455E" w:rsidP="00A9455E" w:rsidRDefault="00A9455E" w14:paraId="6D793B5C" w14:textId="77777777">
      <w:pPr>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 </w:t>
      </w:r>
    </w:p>
    <w:tbl>
      <w:tblPr>
        <w:tblW w:w="9101"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97"/>
        <w:gridCol w:w="6804"/>
      </w:tblGrid>
      <w:tr w:rsidRPr="00AB254B" w:rsidR="00A9455E" w:rsidTr="007B6FAC" w14:paraId="7AC849D4" w14:textId="77777777">
        <w:trPr>
          <w:trHeight w:val="1687"/>
        </w:trPr>
        <w:tc>
          <w:tcPr>
            <w:tcW w:w="2297" w:type="dxa"/>
            <w:tcBorders>
              <w:top w:val="single" w:color="auto" w:sz="6" w:space="0"/>
              <w:left w:val="single" w:color="auto" w:sz="6" w:space="0"/>
              <w:bottom w:val="single" w:color="auto" w:sz="6" w:space="0"/>
              <w:right w:val="single" w:color="auto" w:sz="6" w:space="0"/>
            </w:tcBorders>
            <w:shd w:val="clear" w:color="auto" w:fill="FF6600"/>
            <w:hideMark/>
          </w:tcPr>
          <w:p w:rsidRPr="00AB254B" w:rsidR="00A9455E" w:rsidP="007B6FAC" w:rsidRDefault="00A9455E" w14:paraId="5EE733AE" w14:textId="77777777">
            <w:pPr>
              <w:ind w:left="90" w:right="45"/>
              <w:textAlignment w:val="baseline"/>
              <w:rPr>
                <w:rFonts w:eastAsia="Times New Roman" w:cstheme="minorHAnsi"/>
                <w:kern w:val="0"/>
                <w:lang w:eastAsia="en-GB"/>
                <w14:ligatures w14:val="none"/>
              </w:rPr>
            </w:pPr>
            <w:r w:rsidRPr="00AB254B">
              <w:rPr>
                <w:rFonts w:eastAsia="Times New Roman" w:cstheme="minorHAnsi"/>
                <w:kern w:val="0"/>
                <w:lang w:val="en-US" w:eastAsia="en-GB"/>
                <w14:ligatures w14:val="none"/>
              </w:rPr>
              <w:t>Whole-School and Classroom</w:t>
            </w:r>
            <w:r w:rsidRPr="00AB254B">
              <w:rPr>
                <w:rFonts w:eastAsia="Times New Roman" w:cstheme="minorHAnsi"/>
                <w:kern w:val="0"/>
                <w:lang w:eastAsia="en-GB"/>
                <w14:ligatures w14:val="none"/>
              </w:rPr>
              <w:t> </w:t>
            </w:r>
          </w:p>
          <w:p w:rsidRPr="00AB254B" w:rsidR="00A9455E" w:rsidP="007B6FAC" w:rsidRDefault="00A9455E" w14:paraId="66B68355" w14:textId="77777777">
            <w:pPr>
              <w:ind w:left="90"/>
              <w:textAlignment w:val="baseline"/>
              <w:rPr>
                <w:rFonts w:eastAsia="Times New Roman" w:cstheme="minorHAnsi"/>
                <w:kern w:val="0"/>
                <w:lang w:eastAsia="en-GB"/>
                <w14:ligatures w14:val="none"/>
              </w:rPr>
            </w:pPr>
            <w:r w:rsidRPr="00AB254B">
              <w:rPr>
                <w:rFonts w:eastAsia="Times New Roman" w:cstheme="minorHAnsi"/>
                <w:kern w:val="0"/>
                <w:lang w:val="en-US" w:eastAsia="en-GB"/>
                <w14:ligatures w14:val="none"/>
              </w:rPr>
              <w:t>(Support for All)</w:t>
            </w:r>
            <w:r w:rsidRPr="00AB254B">
              <w:rPr>
                <w:rFonts w:eastAsia="Times New Roman" w:cstheme="minorHAnsi"/>
                <w:kern w:val="0"/>
                <w:lang w:eastAsia="en-GB"/>
                <w14:ligatures w14:val="none"/>
              </w:rPr>
              <w:t> </w:t>
            </w:r>
          </w:p>
        </w:tc>
        <w:tc>
          <w:tcPr>
            <w:tcW w:w="6804" w:type="dxa"/>
            <w:tcBorders>
              <w:top w:val="single" w:color="auto" w:sz="6" w:space="0"/>
              <w:left w:val="single" w:color="auto" w:sz="6" w:space="0"/>
              <w:bottom w:val="single" w:color="auto" w:sz="6" w:space="0"/>
              <w:right w:val="single" w:color="auto" w:sz="6" w:space="0"/>
            </w:tcBorders>
            <w:shd w:val="clear" w:color="auto" w:fill="auto"/>
            <w:hideMark/>
          </w:tcPr>
          <w:p w:rsidRPr="00AB254B" w:rsidR="00A9455E" w:rsidP="007B6FAC" w:rsidRDefault="00A9455E" w14:paraId="02D94E04" w14:textId="77777777">
            <w:pPr>
              <w:ind w:left="75" w:right="75"/>
              <w:jc w:val="both"/>
              <w:textAlignment w:val="baseline"/>
              <w:rPr>
                <w:rFonts w:eastAsia="Times New Roman" w:cstheme="minorHAnsi"/>
                <w:kern w:val="0"/>
                <w:lang w:eastAsia="en-GB"/>
                <w14:ligatures w14:val="none"/>
              </w:rPr>
            </w:pPr>
            <w:r w:rsidRPr="00AB254B">
              <w:rPr>
                <w:rFonts w:eastAsia="Times New Roman" w:cstheme="minorHAnsi"/>
                <w:kern w:val="0"/>
                <w:lang w:val="en-US" w:eastAsia="en-GB"/>
                <w14:ligatures w14:val="none"/>
              </w:rPr>
              <w:t xml:space="preserve">The Post-Primary Continuum of Support contains a range of ideas and resources to assist in identification, </w:t>
            </w:r>
            <w:proofErr w:type="gramStart"/>
            <w:r w:rsidRPr="00AB254B">
              <w:rPr>
                <w:rFonts w:eastAsia="Times New Roman" w:cstheme="minorHAnsi"/>
                <w:kern w:val="0"/>
                <w:lang w:val="en-US" w:eastAsia="en-GB"/>
                <w14:ligatures w14:val="none"/>
              </w:rPr>
              <w:t>intervention</w:t>
            </w:r>
            <w:proofErr w:type="gramEnd"/>
            <w:r w:rsidRPr="00AB254B">
              <w:rPr>
                <w:rFonts w:eastAsia="Times New Roman" w:cstheme="minorHAnsi"/>
                <w:kern w:val="0"/>
                <w:lang w:val="en-US" w:eastAsia="en-GB"/>
                <w14:ligatures w14:val="none"/>
              </w:rPr>
              <w:t xml:space="preserve"> and monitoring of outcomes. The subject teacher considers how to differentiate the learning </w:t>
            </w:r>
            <w:proofErr w:type="spellStart"/>
            <w:r w:rsidRPr="00AB254B">
              <w:rPr>
                <w:rFonts w:eastAsia="Times New Roman" w:cstheme="minorHAnsi"/>
                <w:kern w:val="0"/>
                <w:lang w:val="en-US" w:eastAsia="en-GB"/>
                <w14:ligatures w14:val="none"/>
              </w:rPr>
              <w:t>programme</w:t>
            </w:r>
            <w:proofErr w:type="spellEnd"/>
            <w:r w:rsidRPr="00AB254B">
              <w:rPr>
                <w:rFonts w:eastAsia="Times New Roman" w:cstheme="minorHAnsi"/>
                <w:kern w:val="0"/>
                <w:lang w:val="en-US" w:eastAsia="en-GB"/>
                <w14:ligatures w14:val="none"/>
              </w:rPr>
              <w:t xml:space="preserve"> effectively to accommodate the needs of all students in the class.</w:t>
            </w:r>
            <w:r w:rsidRPr="00AB254B">
              <w:rPr>
                <w:rFonts w:eastAsia="Times New Roman" w:cstheme="minorHAnsi"/>
                <w:kern w:val="0"/>
                <w:lang w:eastAsia="en-GB"/>
                <w14:ligatures w14:val="none"/>
              </w:rPr>
              <w:t> </w:t>
            </w:r>
          </w:p>
          <w:p w:rsidRPr="00AB254B" w:rsidR="00A9455E" w:rsidP="007B6FAC" w:rsidRDefault="00A9455E" w14:paraId="6592A5C6" w14:textId="77777777">
            <w:pPr>
              <w:ind w:left="75"/>
              <w:jc w:val="both"/>
              <w:textAlignment w:val="baseline"/>
              <w:rPr>
                <w:rFonts w:eastAsia="Times New Roman" w:cstheme="minorHAnsi"/>
                <w:kern w:val="0"/>
                <w:lang w:eastAsia="en-GB"/>
                <w14:ligatures w14:val="none"/>
              </w:rPr>
            </w:pPr>
            <w:r w:rsidRPr="00AB254B">
              <w:rPr>
                <w:rFonts w:eastAsia="Times New Roman" w:cstheme="minorHAnsi"/>
                <w:kern w:val="0"/>
                <w:lang w:val="en-US" w:eastAsia="en-GB"/>
                <w14:ligatures w14:val="none"/>
              </w:rPr>
              <w:t>Identification of those needing additional support can be informed by:</w:t>
            </w:r>
            <w:r w:rsidRPr="00AB254B">
              <w:rPr>
                <w:rFonts w:eastAsia="Times New Roman" w:cstheme="minorHAnsi"/>
                <w:kern w:val="0"/>
                <w:lang w:eastAsia="en-GB"/>
                <w14:ligatures w14:val="none"/>
              </w:rPr>
              <w:t> </w:t>
            </w:r>
          </w:p>
          <w:p w:rsidRPr="00AB254B" w:rsidR="00A9455E" w:rsidP="00A9455E" w:rsidRDefault="00A9455E" w14:paraId="45EE9138" w14:textId="77777777">
            <w:pPr>
              <w:numPr>
                <w:ilvl w:val="0"/>
                <w:numId w:val="10"/>
              </w:numPr>
              <w:ind w:left="1155" w:firstLine="0"/>
              <w:textAlignment w:val="baseline"/>
              <w:rPr>
                <w:rFonts w:eastAsia="Times New Roman" w:cstheme="minorHAnsi"/>
                <w:kern w:val="0"/>
                <w:lang w:eastAsia="en-GB"/>
                <w14:ligatures w14:val="none"/>
              </w:rPr>
            </w:pPr>
            <w:r w:rsidRPr="00AB254B">
              <w:rPr>
                <w:rFonts w:eastAsia="Times New Roman" w:cstheme="minorHAnsi"/>
                <w:kern w:val="0"/>
                <w:lang w:val="en-US" w:eastAsia="en-GB"/>
                <w14:ligatures w14:val="none"/>
              </w:rPr>
              <w:t>Intake screening</w:t>
            </w:r>
            <w:r w:rsidRPr="00AB254B">
              <w:rPr>
                <w:rFonts w:eastAsia="Times New Roman" w:cstheme="minorHAnsi"/>
                <w:kern w:val="0"/>
                <w:lang w:eastAsia="en-GB"/>
                <w14:ligatures w14:val="none"/>
              </w:rPr>
              <w:t> </w:t>
            </w:r>
          </w:p>
          <w:p w:rsidRPr="00AB254B" w:rsidR="00A9455E" w:rsidP="00A9455E" w:rsidRDefault="00A9455E" w14:paraId="6C45FE96" w14:textId="77777777">
            <w:pPr>
              <w:numPr>
                <w:ilvl w:val="0"/>
                <w:numId w:val="10"/>
              </w:numPr>
              <w:ind w:left="1155" w:firstLine="0"/>
              <w:textAlignment w:val="baseline"/>
              <w:rPr>
                <w:rFonts w:eastAsia="Times New Roman" w:cstheme="minorHAnsi"/>
                <w:kern w:val="0"/>
                <w:lang w:eastAsia="en-GB"/>
                <w14:ligatures w14:val="none"/>
              </w:rPr>
            </w:pPr>
            <w:r w:rsidRPr="00AB254B">
              <w:rPr>
                <w:rFonts w:eastAsia="Times New Roman" w:cstheme="minorHAnsi"/>
                <w:kern w:val="0"/>
                <w:lang w:val="en-US" w:eastAsia="en-GB"/>
                <w14:ligatures w14:val="none"/>
              </w:rPr>
              <w:t>Collection of information from primary schools, including Student Passport</w:t>
            </w:r>
            <w:r w:rsidRPr="00AB254B">
              <w:rPr>
                <w:rFonts w:eastAsia="Times New Roman" w:cstheme="minorHAnsi"/>
                <w:kern w:val="0"/>
                <w:lang w:eastAsia="en-GB"/>
                <w14:ligatures w14:val="none"/>
              </w:rPr>
              <w:t> </w:t>
            </w:r>
          </w:p>
          <w:p w:rsidRPr="00AB254B" w:rsidR="00A9455E" w:rsidP="00A9455E" w:rsidRDefault="00A9455E" w14:paraId="5444BA40" w14:textId="77777777">
            <w:pPr>
              <w:numPr>
                <w:ilvl w:val="0"/>
                <w:numId w:val="10"/>
              </w:numPr>
              <w:ind w:left="1155" w:firstLine="0"/>
              <w:textAlignment w:val="baseline"/>
              <w:rPr>
                <w:rFonts w:eastAsia="Times New Roman" w:cstheme="minorHAnsi"/>
                <w:kern w:val="0"/>
                <w:lang w:eastAsia="en-GB"/>
                <w14:ligatures w14:val="none"/>
              </w:rPr>
            </w:pPr>
            <w:r w:rsidRPr="00AB254B">
              <w:rPr>
                <w:rFonts w:eastAsia="Times New Roman" w:cstheme="minorHAnsi"/>
                <w:kern w:val="0"/>
                <w:lang w:val="en-US" w:eastAsia="en-GB"/>
                <w14:ligatures w14:val="none"/>
              </w:rPr>
              <w:t>Teacher observation</w:t>
            </w:r>
            <w:r w:rsidRPr="00AB254B">
              <w:rPr>
                <w:rFonts w:eastAsia="Times New Roman" w:cstheme="minorHAnsi"/>
                <w:kern w:val="0"/>
                <w:lang w:eastAsia="en-GB"/>
                <w14:ligatures w14:val="none"/>
              </w:rPr>
              <w:t> </w:t>
            </w:r>
          </w:p>
          <w:p w:rsidRPr="00AB254B" w:rsidR="00A9455E" w:rsidP="00A9455E" w:rsidRDefault="00A9455E" w14:paraId="6BAA0988" w14:textId="77777777">
            <w:pPr>
              <w:numPr>
                <w:ilvl w:val="0"/>
                <w:numId w:val="10"/>
              </w:numPr>
              <w:ind w:left="1155" w:firstLine="0"/>
              <w:textAlignment w:val="baseline"/>
              <w:rPr>
                <w:rFonts w:eastAsia="Times New Roman" w:cstheme="minorHAnsi"/>
                <w:kern w:val="0"/>
                <w:lang w:eastAsia="en-GB"/>
                <w14:ligatures w14:val="none"/>
              </w:rPr>
            </w:pPr>
            <w:r w:rsidRPr="00AB254B">
              <w:rPr>
                <w:rFonts w:eastAsia="Times New Roman" w:cstheme="minorHAnsi"/>
                <w:kern w:val="0"/>
                <w:lang w:val="en-US" w:eastAsia="en-GB"/>
                <w14:ligatures w14:val="none"/>
              </w:rPr>
              <w:t>Teacher assessment</w:t>
            </w:r>
            <w:r w:rsidRPr="00AB254B">
              <w:rPr>
                <w:rFonts w:eastAsia="Times New Roman" w:cstheme="minorHAnsi"/>
                <w:kern w:val="0"/>
                <w:lang w:eastAsia="en-GB"/>
                <w14:ligatures w14:val="none"/>
              </w:rPr>
              <w:t> </w:t>
            </w:r>
          </w:p>
          <w:p w:rsidRPr="00AB254B" w:rsidR="00A9455E" w:rsidP="00A9455E" w:rsidRDefault="00A9455E" w14:paraId="753C8FE7" w14:textId="77777777">
            <w:pPr>
              <w:numPr>
                <w:ilvl w:val="0"/>
                <w:numId w:val="10"/>
              </w:numPr>
              <w:ind w:left="1155" w:firstLine="0"/>
              <w:textAlignment w:val="baseline"/>
              <w:rPr>
                <w:rFonts w:eastAsia="Times New Roman" w:cstheme="minorHAnsi"/>
                <w:kern w:val="0"/>
                <w:lang w:eastAsia="en-GB"/>
                <w14:ligatures w14:val="none"/>
              </w:rPr>
            </w:pPr>
            <w:r w:rsidRPr="00AB254B">
              <w:rPr>
                <w:rFonts w:eastAsia="Times New Roman" w:cstheme="minorHAnsi"/>
                <w:kern w:val="0"/>
                <w:lang w:val="en-US" w:eastAsia="en-GB"/>
                <w14:ligatures w14:val="none"/>
              </w:rPr>
              <w:t>Learning Environment Checklist</w:t>
            </w:r>
            <w:r w:rsidRPr="00AB254B">
              <w:rPr>
                <w:rFonts w:eastAsia="Times New Roman" w:cstheme="minorHAnsi"/>
                <w:kern w:val="0"/>
                <w:lang w:eastAsia="en-GB"/>
                <w14:ligatures w14:val="none"/>
              </w:rPr>
              <w:t> </w:t>
            </w:r>
          </w:p>
          <w:p w:rsidRPr="00AB254B" w:rsidR="00A9455E" w:rsidP="00A9455E" w:rsidRDefault="00A9455E" w14:paraId="2F698788" w14:textId="77777777">
            <w:pPr>
              <w:numPr>
                <w:ilvl w:val="0"/>
                <w:numId w:val="10"/>
              </w:numPr>
              <w:ind w:left="1155" w:firstLine="0"/>
              <w:textAlignment w:val="baseline"/>
              <w:rPr>
                <w:rFonts w:eastAsia="Times New Roman" w:cstheme="minorHAnsi"/>
                <w:kern w:val="0"/>
                <w:lang w:eastAsia="en-GB"/>
                <w14:ligatures w14:val="none"/>
              </w:rPr>
            </w:pPr>
            <w:r w:rsidRPr="00AB254B">
              <w:rPr>
                <w:rFonts w:eastAsia="Times New Roman" w:cstheme="minorHAnsi"/>
                <w:kern w:val="0"/>
                <w:lang w:val="en-US" w:eastAsia="en-GB"/>
                <w14:ligatures w14:val="none"/>
              </w:rPr>
              <w:t>Student Support Team involvement</w:t>
            </w:r>
            <w:r w:rsidRPr="00AB254B">
              <w:rPr>
                <w:rFonts w:eastAsia="Times New Roman" w:cstheme="minorHAnsi"/>
                <w:kern w:val="0"/>
                <w:lang w:eastAsia="en-GB"/>
                <w14:ligatures w14:val="none"/>
              </w:rPr>
              <w:t> </w:t>
            </w:r>
          </w:p>
          <w:p w:rsidRPr="00AB254B" w:rsidR="00A9455E" w:rsidP="00A9455E" w:rsidRDefault="00A9455E" w14:paraId="7E81348F" w14:textId="77777777">
            <w:pPr>
              <w:numPr>
                <w:ilvl w:val="0"/>
                <w:numId w:val="10"/>
              </w:numPr>
              <w:ind w:left="1155" w:firstLine="0"/>
              <w:textAlignment w:val="baseline"/>
              <w:rPr>
                <w:rFonts w:eastAsia="Times New Roman" w:cstheme="minorHAnsi"/>
                <w:kern w:val="0"/>
                <w:lang w:eastAsia="en-GB"/>
                <w14:ligatures w14:val="none"/>
              </w:rPr>
            </w:pPr>
            <w:proofErr w:type="spellStart"/>
            <w:r w:rsidRPr="00AB254B">
              <w:rPr>
                <w:rFonts w:eastAsia="Times New Roman" w:cstheme="minorHAnsi"/>
                <w:kern w:val="0"/>
                <w:lang w:val="en-US" w:eastAsia="en-GB"/>
                <w14:ligatures w14:val="none"/>
              </w:rPr>
              <w:t>Standardised</w:t>
            </w:r>
            <w:proofErr w:type="spellEnd"/>
            <w:r w:rsidRPr="00AB254B">
              <w:rPr>
                <w:rFonts w:eastAsia="Times New Roman" w:cstheme="minorHAnsi"/>
                <w:kern w:val="0"/>
                <w:lang w:val="en-US" w:eastAsia="en-GB"/>
                <w14:ligatures w14:val="none"/>
              </w:rPr>
              <w:t xml:space="preserve"> tests of literacy/numeracy</w:t>
            </w:r>
            <w:r w:rsidRPr="00AB254B">
              <w:rPr>
                <w:rFonts w:eastAsia="Times New Roman" w:cstheme="minorHAnsi"/>
                <w:kern w:val="0"/>
                <w:lang w:eastAsia="en-GB"/>
                <w14:ligatures w14:val="none"/>
              </w:rPr>
              <w:t> </w:t>
            </w:r>
          </w:p>
          <w:p w:rsidRPr="00AB254B" w:rsidR="00A9455E" w:rsidP="00A9455E" w:rsidRDefault="00A9455E" w14:paraId="3DCA4F14" w14:textId="77777777">
            <w:pPr>
              <w:numPr>
                <w:ilvl w:val="0"/>
                <w:numId w:val="10"/>
              </w:numPr>
              <w:ind w:left="1155" w:firstLine="0"/>
              <w:textAlignment w:val="baseline"/>
              <w:rPr>
                <w:rFonts w:eastAsia="Times New Roman" w:cstheme="minorHAnsi"/>
                <w:kern w:val="0"/>
                <w:lang w:eastAsia="en-GB"/>
                <w14:ligatures w14:val="none"/>
              </w:rPr>
            </w:pPr>
            <w:r w:rsidRPr="00AB254B">
              <w:rPr>
                <w:rFonts w:eastAsia="Times New Roman" w:cstheme="minorHAnsi"/>
                <w:kern w:val="0"/>
                <w:lang w:val="en-US" w:eastAsia="en-GB"/>
                <w14:ligatures w14:val="none"/>
              </w:rPr>
              <w:t>Student consultation</w:t>
            </w:r>
            <w:r w:rsidRPr="00AB254B">
              <w:rPr>
                <w:rFonts w:eastAsia="Times New Roman" w:cstheme="minorHAnsi"/>
                <w:kern w:val="0"/>
                <w:lang w:eastAsia="en-GB"/>
                <w14:ligatures w14:val="none"/>
              </w:rPr>
              <w:t> </w:t>
            </w:r>
          </w:p>
          <w:p w:rsidRPr="00AB254B" w:rsidR="00A9455E" w:rsidP="00A9455E" w:rsidRDefault="00A9455E" w14:paraId="1548994C" w14:textId="77777777">
            <w:pPr>
              <w:numPr>
                <w:ilvl w:val="0"/>
                <w:numId w:val="10"/>
              </w:numPr>
              <w:ind w:left="1155" w:firstLine="0"/>
              <w:textAlignment w:val="baseline"/>
              <w:rPr>
                <w:rFonts w:eastAsia="Times New Roman" w:cstheme="minorHAnsi"/>
                <w:kern w:val="0"/>
                <w:lang w:eastAsia="en-GB"/>
                <w14:ligatures w14:val="none"/>
              </w:rPr>
            </w:pPr>
            <w:r w:rsidRPr="00AB254B">
              <w:rPr>
                <w:rFonts w:eastAsia="Times New Roman" w:cstheme="minorHAnsi"/>
                <w:kern w:val="0"/>
                <w:lang w:val="en-US" w:eastAsia="en-GB"/>
                <w14:ligatures w14:val="none"/>
              </w:rPr>
              <w:t>Parental consultation</w:t>
            </w:r>
            <w:r w:rsidRPr="00AB254B">
              <w:rPr>
                <w:rFonts w:eastAsia="Times New Roman" w:cstheme="minorHAnsi"/>
                <w:kern w:val="0"/>
                <w:lang w:eastAsia="en-GB"/>
                <w14:ligatures w14:val="none"/>
              </w:rPr>
              <w:t> </w:t>
            </w:r>
          </w:p>
          <w:p w:rsidRPr="00AB254B" w:rsidR="00A9455E" w:rsidP="007B6FAC" w:rsidRDefault="00A9455E" w14:paraId="1D2DA2B9" w14:textId="77777777">
            <w:pPr>
              <w:ind w:left="75" w:right="90"/>
              <w:jc w:val="both"/>
              <w:textAlignment w:val="baseline"/>
              <w:rPr>
                <w:rFonts w:eastAsia="Times New Roman"/>
                <w:kern w:val="0"/>
                <w:lang w:eastAsia="en-GB"/>
                <w14:ligatures w14:val="none"/>
              </w:rPr>
            </w:pPr>
            <w:r w:rsidRPr="139FC099">
              <w:rPr>
                <w:rFonts w:eastAsia="Times New Roman"/>
                <w:kern w:val="0"/>
                <w:lang w:val="en-US" w:eastAsia="en-GB"/>
                <w14:ligatures w14:val="none"/>
              </w:rPr>
              <w:t xml:space="preserve">Where students continue to present with significant difficulties, despite whole-school interventions (such as differentiated teaching, a mentoring </w:t>
            </w:r>
            <w:proofErr w:type="spellStart"/>
            <w:r w:rsidRPr="139FC099">
              <w:rPr>
                <w:rFonts w:eastAsia="Times New Roman"/>
                <w:kern w:val="0"/>
                <w:lang w:val="en-US" w:eastAsia="en-GB"/>
                <w14:ligatures w14:val="none"/>
              </w:rPr>
              <w:t>programme</w:t>
            </w:r>
            <w:proofErr w:type="spellEnd"/>
            <w:r w:rsidRPr="139FC099">
              <w:rPr>
                <w:rFonts w:eastAsia="Times New Roman"/>
                <w:kern w:val="0"/>
                <w:lang w:val="en-US" w:eastAsia="en-GB"/>
                <w14:ligatures w14:val="none"/>
              </w:rPr>
              <w:t xml:space="preserve"> or social skills group), School Support (for Some) is initiated.</w:t>
            </w:r>
            <w:r w:rsidRPr="139FC099">
              <w:rPr>
                <w:rFonts w:eastAsia="Times New Roman"/>
                <w:kern w:val="0"/>
                <w:lang w:eastAsia="en-GB"/>
                <w14:ligatures w14:val="none"/>
              </w:rPr>
              <w:t> </w:t>
            </w:r>
          </w:p>
        </w:tc>
      </w:tr>
      <w:tr w:rsidRPr="00AB254B" w:rsidR="00A9455E" w:rsidTr="007B6FAC" w14:paraId="49FE8DA8" w14:textId="77777777">
        <w:trPr>
          <w:trHeight w:val="4515"/>
        </w:trPr>
        <w:tc>
          <w:tcPr>
            <w:tcW w:w="2297" w:type="dxa"/>
            <w:tcBorders>
              <w:top w:val="single" w:color="auto" w:sz="6" w:space="0"/>
              <w:left w:val="single" w:color="auto" w:sz="6" w:space="0"/>
              <w:bottom w:val="single" w:color="auto" w:sz="6" w:space="0"/>
              <w:right w:val="single" w:color="auto" w:sz="6" w:space="0"/>
            </w:tcBorders>
            <w:shd w:val="clear" w:color="auto" w:fill="FF0000"/>
            <w:hideMark/>
          </w:tcPr>
          <w:p w:rsidRPr="00AB254B" w:rsidR="00A9455E" w:rsidP="007B6FAC" w:rsidRDefault="00A9455E" w14:paraId="70C533D0" w14:textId="77777777">
            <w:pPr>
              <w:ind w:left="105" w:right="240"/>
              <w:textAlignment w:val="baseline"/>
              <w:rPr>
                <w:rFonts w:eastAsia="Times New Roman" w:cstheme="minorHAnsi"/>
                <w:kern w:val="0"/>
                <w:lang w:eastAsia="en-GB"/>
                <w14:ligatures w14:val="none"/>
              </w:rPr>
            </w:pPr>
            <w:r w:rsidRPr="00AB254B">
              <w:rPr>
                <w:rFonts w:eastAsia="Times New Roman" w:cstheme="minorHAnsi"/>
                <w:kern w:val="0"/>
                <w:lang w:val="en-US" w:eastAsia="en-GB"/>
                <w14:ligatures w14:val="none"/>
              </w:rPr>
              <w:t>School Support (for Some)</w:t>
            </w:r>
            <w:r w:rsidRPr="00AB254B">
              <w:rPr>
                <w:rFonts w:eastAsia="Times New Roman" w:cstheme="minorHAnsi"/>
                <w:kern w:val="0"/>
                <w:lang w:eastAsia="en-GB"/>
                <w14:ligatures w14:val="none"/>
              </w:rPr>
              <w:t> </w:t>
            </w:r>
          </w:p>
        </w:tc>
        <w:tc>
          <w:tcPr>
            <w:tcW w:w="6804" w:type="dxa"/>
            <w:tcBorders>
              <w:top w:val="single" w:color="auto" w:sz="6" w:space="0"/>
              <w:left w:val="single" w:color="auto" w:sz="6" w:space="0"/>
              <w:bottom w:val="single" w:color="auto" w:sz="6" w:space="0"/>
              <w:right w:val="single" w:color="auto" w:sz="6" w:space="0"/>
            </w:tcBorders>
            <w:shd w:val="clear" w:color="auto" w:fill="auto"/>
            <w:hideMark/>
          </w:tcPr>
          <w:p w:rsidRPr="00AB254B" w:rsidR="00A9455E" w:rsidP="007B6FAC" w:rsidRDefault="00A9455E" w14:paraId="58619EAF" w14:textId="77777777">
            <w:pPr>
              <w:ind w:left="75"/>
              <w:textAlignment w:val="baseline"/>
              <w:rPr>
                <w:rFonts w:eastAsia="Times New Roman" w:cstheme="minorHAnsi"/>
                <w:kern w:val="0"/>
                <w:lang w:eastAsia="en-GB"/>
                <w14:ligatures w14:val="none"/>
              </w:rPr>
            </w:pPr>
            <w:r w:rsidRPr="00AB254B">
              <w:rPr>
                <w:rFonts w:eastAsia="Times New Roman" w:cstheme="minorHAnsi"/>
                <w:kern w:val="0"/>
                <w:lang w:val="en-US" w:eastAsia="en-GB"/>
                <w14:ligatures w14:val="none"/>
              </w:rPr>
              <w:t>At this level a Support Plan is devised and informed by:</w:t>
            </w:r>
            <w:r w:rsidRPr="00AB254B">
              <w:rPr>
                <w:rFonts w:eastAsia="Times New Roman" w:cstheme="minorHAnsi"/>
                <w:kern w:val="0"/>
                <w:lang w:eastAsia="en-GB"/>
                <w14:ligatures w14:val="none"/>
              </w:rPr>
              <w:t> </w:t>
            </w:r>
          </w:p>
          <w:p w:rsidRPr="00AB254B" w:rsidR="00A9455E" w:rsidP="00A9455E" w:rsidRDefault="00A9455E" w14:paraId="34117D9C" w14:textId="77777777">
            <w:pPr>
              <w:numPr>
                <w:ilvl w:val="0"/>
                <w:numId w:val="11"/>
              </w:numPr>
              <w:ind w:left="1155" w:firstLine="0"/>
              <w:textAlignment w:val="baseline"/>
              <w:rPr>
                <w:rFonts w:eastAsia="Times New Roman" w:cstheme="minorHAnsi"/>
                <w:kern w:val="0"/>
                <w:lang w:eastAsia="en-GB"/>
                <w14:ligatures w14:val="none"/>
              </w:rPr>
            </w:pPr>
            <w:r w:rsidRPr="00AB254B">
              <w:rPr>
                <w:rFonts w:eastAsia="Times New Roman" w:cstheme="minorHAnsi"/>
                <w:kern w:val="0"/>
                <w:lang w:val="en-US" w:eastAsia="en-GB"/>
                <w14:ligatures w14:val="none"/>
              </w:rPr>
              <w:t>Teacher observation records</w:t>
            </w:r>
            <w:r w:rsidRPr="00AB254B">
              <w:rPr>
                <w:rFonts w:eastAsia="Times New Roman" w:cstheme="minorHAnsi"/>
                <w:kern w:val="0"/>
                <w:lang w:eastAsia="en-GB"/>
                <w14:ligatures w14:val="none"/>
              </w:rPr>
              <w:t> </w:t>
            </w:r>
          </w:p>
          <w:p w:rsidRPr="00AB254B" w:rsidR="00A9455E" w:rsidP="00A9455E" w:rsidRDefault="00A9455E" w14:paraId="1E0CA1F1" w14:textId="77777777">
            <w:pPr>
              <w:numPr>
                <w:ilvl w:val="0"/>
                <w:numId w:val="11"/>
              </w:numPr>
              <w:ind w:left="1155" w:firstLine="0"/>
              <w:textAlignment w:val="baseline"/>
              <w:rPr>
                <w:rFonts w:eastAsia="Times New Roman" w:cstheme="minorHAnsi"/>
                <w:kern w:val="0"/>
                <w:lang w:eastAsia="en-GB"/>
                <w14:ligatures w14:val="none"/>
              </w:rPr>
            </w:pPr>
            <w:r w:rsidRPr="00AB254B">
              <w:rPr>
                <w:rFonts w:eastAsia="Times New Roman" w:cstheme="minorHAnsi"/>
                <w:kern w:val="0"/>
                <w:lang w:val="en-US" w:eastAsia="en-GB"/>
                <w14:ligatures w14:val="none"/>
              </w:rPr>
              <w:t>Teacher-designed measures / assessments</w:t>
            </w:r>
            <w:r w:rsidRPr="00AB254B">
              <w:rPr>
                <w:rFonts w:eastAsia="Times New Roman" w:cstheme="minorHAnsi"/>
                <w:kern w:val="0"/>
                <w:lang w:eastAsia="en-GB"/>
                <w14:ligatures w14:val="none"/>
              </w:rPr>
              <w:t> </w:t>
            </w:r>
          </w:p>
          <w:p w:rsidRPr="00AB254B" w:rsidR="00A9455E" w:rsidP="00A9455E" w:rsidRDefault="00A9455E" w14:paraId="65AD4CFA" w14:textId="77777777">
            <w:pPr>
              <w:numPr>
                <w:ilvl w:val="0"/>
                <w:numId w:val="11"/>
              </w:numPr>
              <w:ind w:left="1155" w:firstLine="0"/>
              <w:textAlignment w:val="baseline"/>
              <w:rPr>
                <w:rFonts w:eastAsia="Times New Roman" w:cstheme="minorHAnsi"/>
                <w:kern w:val="0"/>
                <w:lang w:eastAsia="en-GB"/>
                <w14:ligatures w14:val="none"/>
              </w:rPr>
            </w:pPr>
            <w:r w:rsidRPr="00AB254B">
              <w:rPr>
                <w:rFonts w:eastAsia="Times New Roman" w:cstheme="minorHAnsi"/>
                <w:kern w:val="0"/>
                <w:lang w:val="en-US" w:eastAsia="en-GB"/>
                <w14:ligatures w14:val="none"/>
              </w:rPr>
              <w:t>Parent/student interview</w:t>
            </w:r>
            <w:r w:rsidRPr="00AB254B">
              <w:rPr>
                <w:rFonts w:eastAsia="Times New Roman" w:cstheme="minorHAnsi"/>
                <w:kern w:val="0"/>
                <w:lang w:eastAsia="en-GB"/>
                <w14:ligatures w14:val="none"/>
              </w:rPr>
              <w:t> </w:t>
            </w:r>
          </w:p>
          <w:p w:rsidRPr="00AB254B" w:rsidR="00A9455E" w:rsidP="00A9455E" w:rsidRDefault="00A9455E" w14:paraId="446EF607" w14:textId="77777777">
            <w:pPr>
              <w:numPr>
                <w:ilvl w:val="0"/>
                <w:numId w:val="11"/>
              </w:numPr>
              <w:ind w:left="1155" w:firstLine="0"/>
              <w:textAlignment w:val="baseline"/>
              <w:rPr>
                <w:rFonts w:eastAsia="Times New Roman" w:cstheme="minorHAnsi"/>
                <w:kern w:val="0"/>
                <w:lang w:eastAsia="en-GB"/>
                <w14:ligatures w14:val="none"/>
              </w:rPr>
            </w:pPr>
            <w:r w:rsidRPr="00AB254B">
              <w:rPr>
                <w:rFonts w:eastAsia="Times New Roman" w:cstheme="minorHAnsi"/>
                <w:kern w:val="0"/>
                <w:lang w:val="en-US" w:eastAsia="en-GB"/>
                <w14:ligatures w14:val="none"/>
              </w:rPr>
              <w:t>Learning environment checklist</w:t>
            </w:r>
            <w:r w:rsidRPr="00AB254B">
              <w:rPr>
                <w:rFonts w:eastAsia="Times New Roman" w:cstheme="minorHAnsi"/>
                <w:kern w:val="0"/>
                <w:lang w:eastAsia="en-GB"/>
                <w14:ligatures w14:val="none"/>
              </w:rPr>
              <w:t> </w:t>
            </w:r>
          </w:p>
          <w:p w:rsidRPr="00AB254B" w:rsidR="00A9455E" w:rsidP="00A9455E" w:rsidRDefault="00A9455E" w14:paraId="6FE130E6" w14:textId="77777777">
            <w:pPr>
              <w:numPr>
                <w:ilvl w:val="0"/>
                <w:numId w:val="11"/>
              </w:numPr>
              <w:ind w:left="1155" w:firstLine="0"/>
              <w:textAlignment w:val="baseline"/>
              <w:rPr>
                <w:rFonts w:eastAsia="Times New Roman" w:cstheme="minorHAnsi"/>
                <w:kern w:val="0"/>
                <w:lang w:eastAsia="en-GB"/>
                <w14:ligatures w14:val="none"/>
              </w:rPr>
            </w:pPr>
            <w:r w:rsidRPr="00AB254B">
              <w:rPr>
                <w:rFonts w:eastAsia="Times New Roman" w:cstheme="minorHAnsi"/>
                <w:kern w:val="0"/>
                <w:lang w:val="en-US" w:eastAsia="en-GB"/>
                <w14:ligatures w14:val="none"/>
              </w:rPr>
              <w:t>Diagnostic assessments in literacy/numeracy</w:t>
            </w:r>
            <w:r w:rsidRPr="00AB254B">
              <w:rPr>
                <w:rFonts w:eastAsia="Times New Roman" w:cstheme="minorHAnsi"/>
                <w:kern w:val="0"/>
                <w:lang w:eastAsia="en-GB"/>
                <w14:ligatures w14:val="none"/>
              </w:rPr>
              <w:t> </w:t>
            </w:r>
          </w:p>
          <w:p w:rsidRPr="00AB254B" w:rsidR="00A9455E" w:rsidP="00A9455E" w:rsidRDefault="00A9455E" w14:paraId="2D1DD6E6" w14:textId="77777777">
            <w:pPr>
              <w:numPr>
                <w:ilvl w:val="0"/>
                <w:numId w:val="11"/>
              </w:numPr>
              <w:ind w:left="1155" w:firstLine="0"/>
              <w:textAlignment w:val="baseline"/>
              <w:rPr>
                <w:rFonts w:eastAsia="Times New Roman" w:cstheme="minorHAnsi"/>
                <w:kern w:val="0"/>
                <w:lang w:eastAsia="en-GB"/>
                <w14:ligatures w14:val="none"/>
              </w:rPr>
            </w:pPr>
            <w:r w:rsidRPr="00AB254B">
              <w:rPr>
                <w:rFonts w:eastAsia="Times New Roman" w:cstheme="minorHAnsi"/>
                <w:kern w:val="0"/>
                <w:lang w:val="en-US" w:eastAsia="en-GB"/>
                <w14:ligatures w14:val="none"/>
              </w:rPr>
              <w:t xml:space="preserve">Formal observation of </w:t>
            </w:r>
            <w:proofErr w:type="spellStart"/>
            <w:r w:rsidRPr="00AB254B">
              <w:rPr>
                <w:rFonts w:eastAsia="Times New Roman" w:cstheme="minorHAnsi"/>
                <w:kern w:val="0"/>
                <w:lang w:val="en-US" w:eastAsia="en-GB"/>
                <w14:ligatures w14:val="none"/>
              </w:rPr>
              <w:t>behaviour</w:t>
            </w:r>
            <w:proofErr w:type="spellEnd"/>
            <w:r w:rsidRPr="00AB254B">
              <w:rPr>
                <w:rFonts w:eastAsia="Times New Roman" w:cstheme="minorHAnsi"/>
                <w:kern w:val="0"/>
                <w:lang w:val="en-US" w:eastAsia="en-GB"/>
                <w14:ligatures w14:val="none"/>
              </w:rPr>
              <w:t xml:space="preserve"> including ABC charts, frequency measures</w:t>
            </w:r>
            <w:r w:rsidRPr="00AB254B">
              <w:rPr>
                <w:rFonts w:eastAsia="Times New Roman" w:cstheme="minorHAnsi"/>
                <w:kern w:val="0"/>
                <w:lang w:eastAsia="en-GB"/>
                <w14:ligatures w14:val="none"/>
              </w:rPr>
              <w:t> </w:t>
            </w:r>
          </w:p>
          <w:p w:rsidRPr="00AB254B" w:rsidR="00A9455E" w:rsidP="00A9455E" w:rsidRDefault="00A9455E" w14:paraId="6CCA0C65" w14:textId="77777777">
            <w:pPr>
              <w:numPr>
                <w:ilvl w:val="0"/>
                <w:numId w:val="11"/>
              </w:numPr>
              <w:ind w:left="1170" w:firstLine="0"/>
              <w:textAlignment w:val="baseline"/>
              <w:rPr>
                <w:rFonts w:eastAsia="Times New Roman" w:cstheme="minorHAnsi"/>
                <w:kern w:val="0"/>
                <w:lang w:eastAsia="en-GB"/>
                <w14:ligatures w14:val="none"/>
              </w:rPr>
            </w:pPr>
            <w:r w:rsidRPr="00AB254B">
              <w:rPr>
                <w:rFonts w:eastAsia="Times New Roman" w:cstheme="minorHAnsi"/>
                <w:kern w:val="0"/>
                <w:lang w:val="en-US" w:eastAsia="en-GB"/>
                <w14:ligatures w14:val="none"/>
              </w:rPr>
              <w:t xml:space="preserve">Functional assessment as appropriate, including screening measures for social, emotional and </w:t>
            </w:r>
            <w:proofErr w:type="spellStart"/>
            <w:r w:rsidRPr="00AB254B">
              <w:rPr>
                <w:rFonts w:eastAsia="Times New Roman" w:cstheme="minorHAnsi"/>
                <w:kern w:val="0"/>
                <w:lang w:val="en-US" w:eastAsia="en-GB"/>
                <w14:ligatures w14:val="none"/>
              </w:rPr>
              <w:t>behavioural</w:t>
            </w:r>
            <w:proofErr w:type="spellEnd"/>
            <w:r w:rsidRPr="00AB254B">
              <w:rPr>
                <w:rFonts w:eastAsia="Times New Roman" w:cstheme="minorHAnsi"/>
                <w:kern w:val="0"/>
                <w:lang w:val="en-US" w:eastAsia="en-GB"/>
                <w14:ligatures w14:val="none"/>
              </w:rPr>
              <w:t xml:space="preserve"> </w:t>
            </w:r>
            <w:proofErr w:type="gramStart"/>
            <w:r w:rsidRPr="00AB254B">
              <w:rPr>
                <w:rFonts w:eastAsia="Times New Roman" w:cstheme="minorHAnsi"/>
                <w:kern w:val="0"/>
                <w:lang w:val="en-US" w:eastAsia="en-GB"/>
                <w14:ligatures w14:val="none"/>
              </w:rPr>
              <w:t>difficulties</w:t>
            </w:r>
            <w:proofErr w:type="gramEnd"/>
            <w:r w:rsidRPr="00AB254B">
              <w:rPr>
                <w:rFonts w:eastAsia="Times New Roman" w:cstheme="minorHAnsi"/>
                <w:kern w:val="0"/>
                <w:lang w:eastAsia="en-GB"/>
                <w14:ligatures w14:val="none"/>
              </w:rPr>
              <w:t> </w:t>
            </w:r>
          </w:p>
          <w:p w:rsidRPr="00AB254B" w:rsidR="00A9455E" w:rsidP="007B6FAC" w:rsidRDefault="00A9455E" w14:paraId="1E4A6C8A" w14:textId="77777777">
            <w:pPr>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 </w:t>
            </w:r>
          </w:p>
          <w:p w:rsidRPr="00AB254B" w:rsidR="00A9455E" w:rsidP="007B6FAC" w:rsidRDefault="00A9455E" w14:paraId="2832A8B3" w14:textId="77777777">
            <w:pPr>
              <w:ind w:left="75" w:right="60"/>
              <w:textAlignment w:val="baseline"/>
              <w:rPr>
                <w:rFonts w:eastAsia="Times New Roman" w:cstheme="minorHAnsi"/>
                <w:kern w:val="0"/>
                <w:lang w:eastAsia="en-GB"/>
                <w14:ligatures w14:val="none"/>
              </w:rPr>
            </w:pPr>
            <w:r w:rsidRPr="00AB254B">
              <w:rPr>
                <w:rFonts w:eastAsia="Times New Roman" w:cstheme="minorHAnsi"/>
                <w:kern w:val="0"/>
                <w:lang w:val="en-US" w:eastAsia="en-GB"/>
                <w14:ligatures w14:val="none"/>
              </w:rPr>
              <w:t xml:space="preserve">Support at this level can take many forms, for example: team-teaching, small group or </w:t>
            </w:r>
            <w:proofErr w:type="spellStart"/>
            <w:r w:rsidRPr="00AB254B">
              <w:rPr>
                <w:rFonts w:eastAsia="Times New Roman" w:cstheme="minorHAnsi"/>
                <w:kern w:val="0"/>
                <w:lang w:val="en-US" w:eastAsia="en-GB"/>
                <w14:ligatures w14:val="none"/>
              </w:rPr>
              <w:t>individualised</w:t>
            </w:r>
            <w:proofErr w:type="spellEnd"/>
            <w:r w:rsidRPr="00AB254B">
              <w:rPr>
                <w:rFonts w:eastAsia="Times New Roman" w:cstheme="minorHAnsi"/>
                <w:kern w:val="0"/>
                <w:lang w:val="en-US" w:eastAsia="en-GB"/>
                <w14:ligatures w14:val="none"/>
              </w:rPr>
              <w:t xml:space="preserve"> tuition, peer mentoring, inclusion in social skills groups, </w:t>
            </w:r>
            <w:proofErr w:type="spellStart"/>
            <w:r w:rsidRPr="00AB254B">
              <w:rPr>
                <w:rFonts w:eastAsia="Times New Roman" w:cstheme="minorHAnsi"/>
                <w:kern w:val="0"/>
                <w:lang w:val="en-US" w:eastAsia="en-GB"/>
                <w14:ligatures w14:val="none"/>
              </w:rPr>
              <w:t>behaviour</w:t>
            </w:r>
            <w:proofErr w:type="spellEnd"/>
            <w:r w:rsidRPr="00AB254B">
              <w:rPr>
                <w:rFonts w:eastAsia="Times New Roman" w:cstheme="minorHAnsi"/>
                <w:kern w:val="0"/>
                <w:lang w:val="en-US" w:eastAsia="en-GB"/>
                <w14:ligatures w14:val="none"/>
              </w:rPr>
              <w:t xml:space="preserve"> reward and consequence systems.</w:t>
            </w:r>
            <w:r w:rsidRPr="00AB254B">
              <w:rPr>
                <w:rFonts w:eastAsia="Times New Roman" w:cstheme="minorHAnsi"/>
                <w:kern w:val="0"/>
                <w:lang w:eastAsia="en-GB"/>
                <w14:ligatures w14:val="none"/>
              </w:rPr>
              <w:t> </w:t>
            </w:r>
          </w:p>
          <w:p w:rsidRPr="00AB254B" w:rsidR="00A9455E" w:rsidP="007B6FAC" w:rsidRDefault="00A9455E" w14:paraId="3A7EA834" w14:textId="77777777">
            <w:pPr>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lastRenderedPageBreak/>
              <w:t> </w:t>
            </w:r>
          </w:p>
          <w:p w:rsidRPr="00AB254B" w:rsidR="00A9455E" w:rsidP="007B6FAC" w:rsidRDefault="00A9455E" w14:paraId="2807B02E" w14:textId="77777777">
            <w:pPr>
              <w:ind w:left="75"/>
              <w:textAlignment w:val="baseline"/>
              <w:rPr>
                <w:rFonts w:eastAsia="Times New Roman"/>
                <w:kern w:val="0"/>
                <w:lang w:eastAsia="en-GB"/>
                <w14:ligatures w14:val="none"/>
              </w:rPr>
            </w:pPr>
            <w:r w:rsidRPr="139FC099">
              <w:rPr>
                <w:rFonts w:eastAsia="Times New Roman"/>
                <w:kern w:val="0"/>
                <w:lang w:val="en-US" w:eastAsia="en-GB"/>
                <w14:ligatures w14:val="none"/>
              </w:rPr>
              <w:t>A Support Plan operates for an agreed time and is subject to review.</w:t>
            </w:r>
            <w:r w:rsidRPr="139FC099">
              <w:rPr>
                <w:rFonts w:eastAsia="Times New Roman"/>
                <w:kern w:val="0"/>
                <w:lang w:eastAsia="en-GB"/>
                <w14:ligatures w14:val="none"/>
              </w:rPr>
              <w:t> </w:t>
            </w:r>
          </w:p>
        </w:tc>
      </w:tr>
      <w:tr w:rsidRPr="00AB254B" w:rsidR="00A9455E" w:rsidTr="007B6FAC" w14:paraId="2753589A" w14:textId="77777777">
        <w:trPr>
          <w:trHeight w:val="3390"/>
        </w:trPr>
        <w:tc>
          <w:tcPr>
            <w:tcW w:w="2297" w:type="dxa"/>
            <w:tcBorders>
              <w:top w:val="single" w:color="auto" w:sz="6" w:space="0"/>
              <w:left w:val="single" w:color="auto" w:sz="6" w:space="0"/>
              <w:bottom w:val="single" w:color="auto" w:sz="6" w:space="0"/>
              <w:right w:val="single" w:color="auto" w:sz="6" w:space="0"/>
            </w:tcBorders>
            <w:shd w:val="clear" w:color="auto" w:fill="92D050"/>
            <w:hideMark/>
          </w:tcPr>
          <w:p w:rsidRPr="00AB254B" w:rsidR="00A9455E" w:rsidP="007B6FAC" w:rsidRDefault="00A9455E" w14:paraId="458D41AB" w14:textId="77777777">
            <w:pPr>
              <w:ind w:left="105" w:right="270"/>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lastRenderedPageBreak/>
              <w:t>School Support Plus </w:t>
            </w:r>
          </w:p>
          <w:p w:rsidRPr="00AB254B" w:rsidR="00A9455E" w:rsidP="007B6FAC" w:rsidRDefault="00A9455E" w14:paraId="571D1C94" w14:textId="77777777">
            <w:pPr>
              <w:ind w:left="105"/>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(for a Few) </w:t>
            </w:r>
          </w:p>
          <w:p w:rsidRPr="00AB254B" w:rsidR="00A9455E" w:rsidP="007B6FAC" w:rsidRDefault="00A9455E" w14:paraId="12DE4358" w14:textId="77777777">
            <w:pPr>
              <w:ind w:left="105" w:right="240"/>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 </w:t>
            </w:r>
          </w:p>
        </w:tc>
        <w:tc>
          <w:tcPr>
            <w:tcW w:w="6804" w:type="dxa"/>
            <w:tcBorders>
              <w:top w:val="single" w:color="auto" w:sz="6" w:space="0"/>
              <w:left w:val="single" w:color="auto" w:sz="6" w:space="0"/>
              <w:bottom w:val="single" w:color="auto" w:sz="6" w:space="0"/>
              <w:right w:val="single" w:color="auto" w:sz="6" w:space="0"/>
            </w:tcBorders>
            <w:shd w:val="clear" w:color="auto" w:fill="auto"/>
            <w:hideMark/>
          </w:tcPr>
          <w:p w:rsidRPr="00AB254B" w:rsidR="00A9455E" w:rsidP="007B6FAC" w:rsidRDefault="00A9455E" w14:paraId="73CA37D2" w14:textId="77777777">
            <w:pPr>
              <w:ind w:left="105" w:right="105"/>
              <w:jc w:val="both"/>
              <w:textAlignment w:val="baseline"/>
              <w:rPr>
                <w:rFonts w:eastAsia="Times New Roman"/>
                <w:kern w:val="0"/>
                <w:lang w:eastAsia="en-GB"/>
                <w14:ligatures w14:val="none"/>
              </w:rPr>
            </w:pPr>
            <w:r w:rsidRPr="139FC099">
              <w:rPr>
                <w:rFonts w:eastAsia="Times New Roman"/>
                <w:kern w:val="0"/>
                <w:lang w:eastAsia="en-GB"/>
                <w14:ligatures w14:val="none"/>
              </w:rPr>
              <w:t>At this level, subject teacher(s), parents, and special education teachers, in collaboration with outside agencies, as required engage in a more detailed and systematic approach to information gathering and assessment. This involves using a broad range of formal and informal assessment and diagnostic tools, including teacher observation, student interview, measures of cognitive ability, and social, emotional, behavioural, and adaptive functioning, as appropriate. </w:t>
            </w:r>
          </w:p>
          <w:p w:rsidRPr="00AB254B" w:rsidR="00A9455E" w:rsidP="007B6FAC" w:rsidRDefault="00A9455E" w14:paraId="2FCC5D9D" w14:textId="77777777">
            <w:pPr>
              <w:ind w:left="105" w:right="135"/>
              <w:jc w:val="both"/>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Data generated from this process are used to plan an appropriate intervention and serve as a baseline against which to map progress. </w:t>
            </w:r>
          </w:p>
          <w:p w:rsidRPr="00AB254B" w:rsidR="00A9455E" w:rsidP="007B6FAC" w:rsidRDefault="00A9455E" w14:paraId="4E302048" w14:textId="77777777">
            <w:pPr>
              <w:ind w:left="105" w:right="105"/>
              <w:jc w:val="both"/>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A Support Plan at this level is likely to be more detailed, individualised, and to involve longer term planning and consultation. </w:t>
            </w:r>
          </w:p>
        </w:tc>
      </w:tr>
    </w:tbl>
    <w:p w:rsidRPr="00AB254B" w:rsidR="00A9455E" w:rsidP="00A9455E" w:rsidRDefault="00A9455E" w14:paraId="437ADBBE" w14:textId="77777777">
      <w:pPr>
        <w:ind w:left="120"/>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 </w:t>
      </w:r>
    </w:p>
    <w:p w:rsidRPr="00AB254B" w:rsidR="00A9455E" w:rsidP="00A9455E" w:rsidRDefault="00A9455E" w14:paraId="5B4CF305" w14:textId="77777777">
      <w:pPr>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 </w:t>
      </w:r>
    </w:p>
    <w:p w:rsidRPr="00AB254B" w:rsidR="00A9455E" w:rsidP="00A9455E" w:rsidRDefault="00A9455E" w14:paraId="3213EF58" w14:textId="77777777">
      <w:pPr>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The requirement for a formal, clinical diagnosis of specific disability is not stipulated.  This relieves parents of the burden of seeking costly, private assessments.  </w:t>
      </w:r>
    </w:p>
    <w:p w:rsidRPr="00AB254B" w:rsidR="00A9455E" w:rsidP="00A9455E" w:rsidRDefault="00A9455E" w14:paraId="41D1C55B" w14:textId="77777777">
      <w:pPr>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 </w:t>
      </w:r>
    </w:p>
    <w:p w:rsidRPr="00AB254B" w:rsidR="00A9455E" w:rsidP="00A9455E" w:rsidRDefault="00A9455E" w14:paraId="278D0B5A" w14:textId="77777777">
      <w:pPr>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In practice, this means that many students entering third-level settings will request registration with the Disability Service and access to the same educational supports as those provided in post-primary school, without evidence of disability to support that request.   </w:t>
      </w:r>
    </w:p>
    <w:p w:rsidR="00A9455E" w:rsidP="00A9455E" w:rsidRDefault="00A9455E" w14:paraId="68F9469F" w14:textId="77777777">
      <w:pPr>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 </w:t>
      </w:r>
    </w:p>
    <w:p w:rsidRPr="00AB254B" w:rsidR="00A9455E" w:rsidP="00A9455E" w:rsidRDefault="00A9455E" w14:paraId="3E17342D" w14:textId="77777777">
      <w:pPr>
        <w:textAlignment w:val="baseline"/>
        <w:rPr>
          <w:rFonts w:eastAsia="Times New Roman" w:cstheme="minorHAnsi"/>
          <w:kern w:val="0"/>
          <w:lang w:eastAsia="en-GB"/>
          <w14:ligatures w14:val="none"/>
        </w:rPr>
      </w:pPr>
    </w:p>
    <w:p w:rsidR="00A9455E" w:rsidP="00A9455E" w:rsidRDefault="00A9455E" w14:paraId="1B398A33" w14:textId="77777777">
      <w:pPr>
        <w:textAlignment w:val="baseline"/>
        <w:rPr>
          <w:rFonts w:eastAsia="Times New Roman"/>
          <w:b/>
          <w:kern w:val="0"/>
          <w:lang w:eastAsia="en-GB"/>
          <w14:ligatures w14:val="none"/>
        </w:rPr>
      </w:pPr>
      <w:r w:rsidRPr="6BAD5376">
        <w:rPr>
          <w:rFonts w:eastAsia="Times New Roman"/>
          <w:b/>
          <w:kern w:val="0"/>
          <w:lang w:val="en-US" w:eastAsia="en-GB"/>
          <w14:ligatures w14:val="none"/>
        </w:rPr>
        <w:t>Assessment of Educational Need</w:t>
      </w:r>
      <w:r w:rsidRPr="6BAD5376">
        <w:rPr>
          <w:rFonts w:eastAsia="Times New Roman"/>
          <w:b/>
          <w:kern w:val="0"/>
          <w:lang w:eastAsia="en-GB"/>
          <w14:ligatures w14:val="none"/>
        </w:rPr>
        <w:t> </w:t>
      </w:r>
    </w:p>
    <w:p w:rsidRPr="00AB254B" w:rsidR="00A9455E" w:rsidP="00A9455E" w:rsidRDefault="00A9455E" w14:paraId="097796EE" w14:textId="77777777">
      <w:pPr>
        <w:textAlignment w:val="baseline"/>
        <w:rPr>
          <w:rFonts w:eastAsia="Times New Roman"/>
          <w:b/>
          <w:kern w:val="0"/>
          <w:lang w:eastAsia="en-GB"/>
          <w14:ligatures w14:val="none"/>
        </w:rPr>
      </w:pPr>
    </w:p>
    <w:p w:rsidRPr="00AB254B" w:rsidR="00A9455E" w:rsidP="00A9455E" w:rsidRDefault="00A9455E" w14:paraId="4BE5D81D" w14:textId="77777777">
      <w:pPr>
        <w:textAlignment w:val="baseline"/>
        <w:rPr>
          <w:rFonts w:eastAsia="Times New Roman"/>
          <w:kern w:val="0"/>
          <w:lang w:eastAsia="en-GB"/>
          <w14:ligatures w14:val="none"/>
        </w:rPr>
      </w:pPr>
      <w:r w:rsidRPr="6BAD5376">
        <w:rPr>
          <w:rFonts w:eastAsia="Times New Roman"/>
          <w:kern w:val="0"/>
          <w:lang w:eastAsia="en-GB"/>
          <w14:ligatures w14:val="none"/>
        </w:rPr>
        <w:t>The Assessment of Need (AON) is a statutory process under the Disability Act (2005) whereby the Health Service Executive (HSE) reports on the health needs, and more recently, the education needs of a child/young person. All children/young people born on or after 1st June 2002 are eligible to apply for an Assessment of Need (AON) under the Disability Act (2005).  </w:t>
      </w:r>
    </w:p>
    <w:p w:rsidR="00A9455E" w:rsidP="00A9455E" w:rsidRDefault="00A9455E" w14:paraId="4BA0BE74" w14:textId="77777777">
      <w:pPr>
        <w:textAlignment w:val="baseline"/>
        <w:rPr>
          <w:rFonts w:eastAsia="Times New Roman"/>
          <w:kern w:val="0"/>
          <w:lang w:eastAsia="en-GB"/>
          <w14:ligatures w14:val="none"/>
        </w:rPr>
      </w:pPr>
      <w:r w:rsidRPr="6BAD5376">
        <w:rPr>
          <w:rFonts w:eastAsia="Times New Roman"/>
          <w:kern w:val="0"/>
          <w:lang w:eastAsia="en-GB"/>
          <w14:ligatures w14:val="none"/>
        </w:rPr>
        <w:t xml:space="preserve">Following a legal judgment in 2021, the Department of Education published guidelines for a new strategy in October 2022 – the Report of Education Needs for the purpose of </w:t>
      </w:r>
      <w:r w:rsidRPr="6BAD5376">
        <w:rPr>
          <w:rFonts w:eastAsia="Times New Roman"/>
          <w:kern w:val="0"/>
          <w:lang w:eastAsia="en-GB"/>
          <w14:ligatures w14:val="none"/>
        </w:rPr>
        <w:lastRenderedPageBreak/>
        <w:t>Assessment of Need (Disability Act 2005).  Under the Disability Act (2005) Section 8 (3) if the HSE Assessment Officer forms the opinion that there may be a need for an education service to be provided to an applicant she/he will request the NCSE to nominate a person with the appropriate expertise to assist in carrying out the assessment of education needs. An information note has been issued to inform schools of these recent changes and a template document has been devised for schools to complete a ‘</w:t>
      </w:r>
      <w:hyperlink w:history="1" r:id="rId7">
        <w:r w:rsidRPr="00C45224">
          <w:rPr>
            <w:rStyle w:val="Hyperlink"/>
            <w:rFonts w:eastAsia="Times New Roman"/>
            <w:kern w:val="0"/>
            <w:lang w:eastAsia="en-GB"/>
            <w14:ligatures w14:val="none"/>
          </w:rPr>
          <w:t>Report of Education Needs for the purpose of Assessment of Need’</w:t>
        </w:r>
      </w:hyperlink>
      <w:r w:rsidRPr="6BAD5376">
        <w:rPr>
          <w:rFonts w:eastAsia="Times New Roman"/>
          <w:kern w:val="0"/>
          <w:lang w:eastAsia="en-GB"/>
          <w14:ligatures w14:val="none"/>
        </w:rPr>
        <w:t>. A ‘Guidance Note for Schools’ has also been developed for schools to aid in the process of completing this report.  </w:t>
      </w:r>
    </w:p>
    <w:p w:rsidR="00A9455E" w:rsidP="00A9455E" w:rsidRDefault="00A9455E" w14:paraId="70B753E3" w14:textId="77777777">
      <w:pPr>
        <w:textAlignment w:val="baseline"/>
        <w:rPr>
          <w:rFonts w:eastAsia="Times New Roman"/>
          <w:kern w:val="0"/>
          <w:lang w:eastAsia="en-GB"/>
          <w14:ligatures w14:val="none"/>
        </w:rPr>
      </w:pPr>
    </w:p>
    <w:p w:rsidRPr="00AB254B" w:rsidR="00A9455E" w:rsidP="00A9455E" w:rsidRDefault="00A9455E" w14:paraId="441A0CF2" w14:textId="77777777">
      <w:pPr>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In practice, this means that many students entering third-level settings will request registration with the Disability Service and access to the same educational supports as those established in the Report of Education Needs, potentially without a full AON of need for disability to support that request.   </w:t>
      </w:r>
    </w:p>
    <w:p w:rsidRPr="00AB254B" w:rsidR="00A9455E" w:rsidP="00A9455E" w:rsidRDefault="00A9455E" w14:paraId="366F85E4" w14:textId="77777777">
      <w:pPr>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 </w:t>
      </w:r>
    </w:p>
    <w:p w:rsidRPr="00AB254B" w:rsidR="00A9455E" w:rsidP="00A9455E" w:rsidRDefault="00A9455E" w14:paraId="6F705DD5" w14:textId="77777777">
      <w:pPr>
        <w:textAlignment w:val="baseline"/>
        <w:rPr>
          <w:rFonts w:eastAsia="Times New Roman" w:cstheme="minorHAnsi"/>
          <w:b/>
          <w:bCs/>
          <w:kern w:val="0"/>
          <w:lang w:eastAsia="en-GB"/>
          <w14:ligatures w14:val="none"/>
        </w:rPr>
      </w:pPr>
      <w:r w:rsidRPr="00AB254B">
        <w:rPr>
          <w:rFonts w:eastAsia="Times New Roman" w:cstheme="minorHAnsi"/>
          <w:b/>
          <w:bCs/>
          <w:kern w:val="0"/>
          <w:lang w:val="en-US" w:eastAsia="en-GB"/>
          <w14:ligatures w14:val="none"/>
        </w:rPr>
        <w:t>Disability Access Route to Education</w:t>
      </w:r>
      <w:r w:rsidRPr="00AB254B">
        <w:rPr>
          <w:rFonts w:eastAsia="Times New Roman" w:cstheme="minorHAnsi"/>
          <w:b/>
          <w:bCs/>
          <w:kern w:val="0"/>
          <w:lang w:eastAsia="en-GB"/>
          <w14:ligatures w14:val="none"/>
        </w:rPr>
        <w:t> </w:t>
      </w:r>
    </w:p>
    <w:p w:rsidRPr="00AB254B" w:rsidR="00A9455E" w:rsidP="00A9455E" w:rsidRDefault="00A9455E" w14:paraId="44CCA4B2" w14:textId="77777777">
      <w:pPr>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 </w:t>
      </w:r>
    </w:p>
    <w:p w:rsidRPr="00AB254B" w:rsidR="00A9455E" w:rsidP="00A9455E" w:rsidRDefault="00A9455E" w14:paraId="79D7254A" w14:textId="77777777">
      <w:pPr>
        <w:textAlignment w:val="baseline"/>
        <w:rPr>
          <w:rFonts w:eastAsia="Times New Roman"/>
          <w:kern w:val="0"/>
          <w:lang w:eastAsia="en-GB"/>
          <w14:ligatures w14:val="none"/>
        </w:rPr>
      </w:pPr>
      <w:r w:rsidRPr="139FC099">
        <w:rPr>
          <w:rFonts w:eastAsia="Times New Roman"/>
          <w:kern w:val="0"/>
          <w:lang w:eastAsia="en-GB"/>
          <w14:ligatures w14:val="none"/>
        </w:rPr>
        <w:t>The Disability Access Route to Education (DARE) is a third-level alternative admissions scheme for school leavers under the age of 23 as of 1st January in any year whose disabilities have had a negative impact on their second-level education. DARE offers reduced points places to school leavers who, because of having a disability, have experienced additional educational challenges in second-level education.  To be eligible for DARE students must meet both the DARE Educational Impact criteria and DARE Evidence of Disability criteria.  </w:t>
      </w:r>
    </w:p>
    <w:p w:rsidRPr="00AB254B" w:rsidR="00A9455E" w:rsidP="00A9455E" w:rsidRDefault="00A9455E" w14:paraId="4DBE85E9" w14:textId="77777777">
      <w:pPr>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 </w:t>
      </w:r>
    </w:p>
    <w:p w:rsidR="00A9455E" w:rsidP="00A9455E" w:rsidRDefault="00A9455E" w14:paraId="21242991" w14:textId="77777777">
      <w:pPr>
        <w:textAlignment w:val="baseline"/>
        <w:rPr>
          <w:rFonts w:eastAsia="Times New Roman" w:cstheme="minorHAnsi"/>
          <w:kern w:val="0"/>
          <w:lang w:eastAsia="en-GB"/>
          <w14:ligatures w14:val="none"/>
        </w:rPr>
      </w:pPr>
      <w:hyperlink w:history="1" r:id="rId8">
        <w:r w:rsidRPr="00C73C4E">
          <w:rPr>
            <w:rStyle w:val="Hyperlink"/>
            <w:rFonts w:eastAsia="Times New Roman" w:cstheme="minorHAnsi"/>
            <w:kern w:val="0"/>
            <w:lang w:eastAsia="en-GB"/>
            <w14:ligatures w14:val="none"/>
          </w:rPr>
          <w:t>Evidence of disability documenta</w:t>
        </w:r>
      </w:hyperlink>
      <w:hyperlink w:history="1" r:id="rId9">
        <w:r w:rsidRPr="00C73C4E">
          <w:rPr>
            <w:rStyle w:val="Hyperlink"/>
            <w:rFonts w:eastAsia="Times New Roman" w:cstheme="minorHAnsi"/>
            <w:kern w:val="0"/>
            <w:lang w:eastAsia="en-GB"/>
            <w14:ligatures w14:val="none"/>
          </w:rPr>
          <w:t>tion</w:t>
        </w:r>
      </w:hyperlink>
      <w:r w:rsidRPr="00AB254B">
        <w:rPr>
          <w:rFonts w:eastAsia="Times New Roman" w:cstheme="minorHAnsi"/>
          <w:kern w:val="0"/>
          <w:lang w:eastAsia="en-GB"/>
          <w14:ligatures w14:val="none"/>
        </w:rPr>
        <w:t xml:space="preserve"> is used by DARE to establish eligibility criteria and is used by colleges and universities to determine the kinds of support students may need.   Some applicants may submit a report which they already have, other applicants may need to have the Evidence of Disability Form completed by the appropriate professional, in addition, some evidence may be required to have been completed within a particular timeframe.  For students with an existing diagnosis but who have difficulty accessing the appropriate professional for confirmation or an updated report, a General Practitioner can complete the Section C Evidence of Disability form.   In recognition of the absence of formal psychological assessment as a function of RACE and the School Inclusion Model, the DARE scheme has made amendments to the acceptable evidence for Specific Learning Difficulty (Dyslexia).  Where no psychologist report is available, the school must complete Section D of the Education Impact Statement indicating levels of support and providing evidence of assessed literacy scores.   </w:t>
      </w:r>
    </w:p>
    <w:p w:rsidRPr="00AB254B" w:rsidR="00A9455E" w:rsidP="00A9455E" w:rsidRDefault="00A9455E" w14:paraId="035B6510" w14:textId="77777777">
      <w:pPr>
        <w:textAlignment w:val="baseline"/>
        <w:rPr>
          <w:rFonts w:eastAsia="Times New Roman" w:cstheme="minorHAnsi"/>
          <w:kern w:val="0"/>
          <w:lang w:eastAsia="en-GB"/>
          <w14:ligatures w14:val="none"/>
        </w:rPr>
      </w:pPr>
    </w:p>
    <w:p w:rsidRPr="00AB254B" w:rsidR="00A9455E" w:rsidP="00A9455E" w:rsidRDefault="00A9455E" w14:paraId="6440D1EE" w14:textId="77777777">
      <w:pPr>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In practice, this means that many students entering third-level settings will request registration with the Disability Service and access to the educational supports based on the DARE Evidence of Impact Statement.   </w:t>
      </w:r>
    </w:p>
    <w:p w:rsidRPr="00AB254B" w:rsidR="00A9455E" w:rsidP="00A9455E" w:rsidRDefault="00A9455E" w14:paraId="25C27D5E" w14:textId="77777777">
      <w:pPr>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 </w:t>
      </w:r>
    </w:p>
    <w:p w:rsidRPr="00AB254B" w:rsidR="00A9455E" w:rsidP="00A9455E" w:rsidRDefault="00A9455E" w14:paraId="315033D3" w14:textId="77777777">
      <w:pPr>
        <w:jc w:val="center"/>
        <w:textAlignment w:val="baseline"/>
        <w:rPr>
          <w:rFonts w:eastAsia="Times New Roman" w:cstheme="minorHAnsi"/>
          <w:b/>
          <w:bCs/>
          <w:color w:val="000000"/>
          <w:kern w:val="0"/>
          <w:lang w:eastAsia="en-GB"/>
          <w14:ligatures w14:val="none"/>
        </w:rPr>
      </w:pPr>
      <w:r>
        <w:rPr>
          <w:rFonts w:eastAsia="Times New Roman" w:cstheme="minorHAnsi"/>
          <w:b/>
          <w:bCs/>
          <w:color w:val="000000"/>
          <w:kern w:val="0"/>
          <w:lang w:eastAsia="en-GB"/>
          <w14:ligatures w14:val="none"/>
        </w:rPr>
        <w:t>HEA</w:t>
      </w:r>
      <w:r w:rsidRPr="00AB254B">
        <w:rPr>
          <w:rFonts w:eastAsia="Times New Roman" w:cstheme="minorHAnsi"/>
          <w:b/>
          <w:bCs/>
          <w:color w:val="000000"/>
          <w:kern w:val="0"/>
          <w:lang w:eastAsia="en-GB"/>
          <w14:ligatures w14:val="none"/>
        </w:rPr>
        <w:t xml:space="preserve"> Fund for Students with Disabilities </w:t>
      </w:r>
    </w:p>
    <w:p w:rsidRPr="00AB254B" w:rsidR="00A9455E" w:rsidP="00A9455E" w:rsidRDefault="00A9455E" w14:paraId="6CE0F3BA" w14:textId="77777777">
      <w:pPr>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 </w:t>
      </w:r>
    </w:p>
    <w:p w:rsidR="00A9455E" w:rsidP="00A9455E" w:rsidRDefault="00A9455E" w14:paraId="0CF30AC1" w14:textId="77777777">
      <w:pPr>
        <w:textAlignment w:val="baseline"/>
        <w:rPr>
          <w:rFonts w:eastAsia="Times New Roman"/>
          <w:kern w:val="0"/>
          <w:lang w:eastAsia="en-GB"/>
          <w14:ligatures w14:val="none"/>
        </w:rPr>
      </w:pPr>
      <w:r w:rsidRPr="139FC099">
        <w:rPr>
          <w:rFonts w:eastAsia="Times New Roman"/>
          <w:kern w:val="0"/>
          <w:lang w:eastAsia="en-GB"/>
          <w14:ligatures w14:val="none"/>
        </w:rPr>
        <w:t xml:space="preserve">The purpose of the Fund for Students with Disabilities (FSD) administered by the Higher Education Authority (HEA) is to assist higher education institutions in ensuring students with disabilities have the necessary assistance and equipment to enable them to access, fully </w:t>
      </w:r>
      <w:r w:rsidRPr="139FC099">
        <w:rPr>
          <w:rFonts w:eastAsia="Times New Roman"/>
          <w:kern w:val="0"/>
          <w:lang w:eastAsia="en-GB"/>
          <w14:ligatures w14:val="none"/>
        </w:rPr>
        <w:lastRenderedPageBreak/>
        <w:t>participate in, and successfully complete their chosen course of study. The FSD is one of the main funding sources supporting participation by students with disabilities in approved higher education courses in Ireland. It also supports students from Ireland to study on approved courses in other EU (European Union) countries and in the UK (United Kingdom), including Northern Ireland.  Eligible students on an approved course can receive assistance from post-leaving certificate to doctoral level during any year of study.  </w:t>
      </w:r>
    </w:p>
    <w:p w:rsidRPr="00AB254B" w:rsidR="00A9455E" w:rsidP="00A9455E" w:rsidRDefault="00A9455E" w14:paraId="62F03C0B" w14:textId="77777777">
      <w:pPr>
        <w:textAlignment w:val="baseline"/>
        <w:rPr>
          <w:rFonts w:eastAsia="Times New Roman"/>
          <w:kern w:val="0"/>
          <w:lang w:eastAsia="en-GB"/>
          <w14:ligatures w14:val="none"/>
        </w:rPr>
      </w:pPr>
    </w:p>
    <w:p w:rsidRPr="00AB254B" w:rsidR="00A9455E" w:rsidP="00A9455E" w:rsidRDefault="00A9455E" w14:paraId="353C5919" w14:textId="77777777">
      <w:pPr>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To be eligible for support under the FSD, a student on an approved course must have a verifiable disability.  Currently, guidelines for this evidence require: </w:t>
      </w:r>
    </w:p>
    <w:p w:rsidRPr="00AB254B" w:rsidR="00A9455E" w:rsidP="00A9455E" w:rsidRDefault="00A9455E" w14:paraId="6732EB85" w14:textId="77777777">
      <w:pPr>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 </w:t>
      </w:r>
    </w:p>
    <w:p w:rsidRPr="00C73C4E" w:rsidR="00A9455E" w:rsidP="00A9455E" w:rsidRDefault="00A9455E" w14:paraId="27824C8C" w14:textId="77777777">
      <w:pPr>
        <w:pStyle w:val="ListParagraph"/>
        <w:numPr>
          <w:ilvl w:val="0"/>
          <w:numId w:val="12"/>
        </w:numPr>
        <w:textAlignment w:val="baseline"/>
        <w:rPr>
          <w:rFonts w:eastAsia="Times New Roman" w:cstheme="minorHAnsi"/>
          <w:kern w:val="0"/>
          <w:lang w:eastAsia="en-GB"/>
          <w14:ligatures w14:val="none"/>
        </w:rPr>
      </w:pPr>
      <w:r w:rsidRPr="00C73C4E">
        <w:rPr>
          <w:rFonts w:eastAsia="Times New Roman" w:cstheme="minorHAnsi"/>
          <w:kern w:val="0"/>
          <w:lang w:eastAsia="en-GB"/>
          <w14:ligatures w14:val="none"/>
        </w:rPr>
        <w:t xml:space="preserve">a report that meets the criteria as set out in the </w:t>
      </w:r>
      <w:hyperlink w:tgtFrame="_blank" w:history="1" r:id="rId10">
        <w:r w:rsidRPr="00C73C4E">
          <w:rPr>
            <w:rFonts w:eastAsia="Times New Roman" w:cstheme="minorHAnsi"/>
            <w:color w:val="0563C1"/>
            <w:kern w:val="0"/>
            <w:u w:val="single"/>
            <w:lang w:eastAsia="en-GB"/>
            <w14:ligatures w14:val="none"/>
          </w:rPr>
          <w:t>FSD 2023 requirements</w:t>
        </w:r>
      </w:hyperlink>
      <w:r w:rsidRPr="00C73C4E">
        <w:rPr>
          <w:rFonts w:eastAsia="Times New Roman" w:cstheme="minorHAnsi"/>
          <w:kern w:val="0"/>
          <w:lang w:eastAsia="en-GB"/>
          <w14:ligatures w14:val="none"/>
        </w:rPr>
        <w:t>, or </w:t>
      </w:r>
    </w:p>
    <w:p w:rsidRPr="00C73C4E" w:rsidR="00A9455E" w:rsidP="00A9455E" w:rsidRDefault="00A9455E" w14:paraId="4CBF5AAB" w14:textId="77777777">
      <w:pPr>
        <w:ind w:left="720"/>
        <w:textAlignment w:val="baseline"/>
        <w:rPr>
          <w:rFonts w:eastAsia="Times New Roman" w:cstheme="minorHAnsi"/>
          <w:kern w:val="0"/>
          <w:lang w:eastAsia="en-GB"/>
          <w14:ligatures w14:val="none"/>
        </w:rPr>
      </w:pPr>
    </w:p>
    <w:p w:rsidRPr="00AB254B" w:rsidR="00A9455E" w:rsidP="00A9455E" w:rsidRDefault="00A9455E" w14:paraId="64063AB8" w14:textId="77777777">
      <w:pPr>
        <w:ind w:left="720"/>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 xml:space="preserve">2. </w:t>
      </w:r>
      <w:r>
        <w:rPr>
          <w:rFonts w:eastAsia="Times New Roman" w:cstheme="minorHAnsi"/>
          <w:kern w:val="0"/>
          <w:lang w:eastAsia="en-GB"/>
          <w14:ligatures w14:val="none"/>
        </w:rPr>
        <w:t xml:space="preserve">  </w:t>
      </w:r>
      <w:r w:rsidRPr="00AB254B">
        <w:rPr>
          <w:rFonts w:eastAsia="Times New Roman" w:cstheme="minorHAnsi"/>
          <w:kern w:val="0"/>
          <w:lang w:eastAsia="en-GB"/>
          <w14:ligatures w14:val="none"/>
        </w:rPr>
        <w:t>the CAO/Disability Access Route to Education (DARE) evidence of disability form that meets the same criteria where the student has completed this step as part of a CAO application. The CAO/DARE evidence of disability form is not considered acceptable as evidence of disability in the case of specific learning difficulties (dyslexia and dyscalculia) and students with DCD-dyspraxia/dysgraphia. </w:t>
      </w:r>
    </w:p>
    <w:p w:rsidRPr="00AB254B" w:rsidR="00A9455E" w:rsidP="00A9455E" w:rsidRDefault="00A9455E" w14:paraId="5E07948F" w14:textId="77777777">
      <w:pPr>
        <w:ind w:left="720"/>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 </w:t>
      </w:r>
    </w:p>
    <w:p w:rsidRPr="00AB254B" w:rsidR="00A9455E" w:rsidP="00A9455E" w:rsidRDefault="00A9455E" w14:paraId="63DB2B7B" w14:textId="77777777">
      <w:pPr>
        <w:ind w:left="720"/>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Where the CAO/DARE evidence of disability form is furnished, the requirements as stated on the form must be met (including that it be accompanied by the qualified health professional’s stamp, business card or headed paper; or where the information from the qualified health professional is provided by a GP, it be accompanied by the GP’s stamp, business card or headed paper). </w:t>
      </w:r>
    </w:p>
    <w:p w:rsidRPr="00AB254B" w:rsidR="00A9455E" w:rsidP="00A9455E" w:rsidRDefault="00A9455E" w14:paraId="6A1FFF59" w14:textId="77777777">
      <w:pPr>
        <w:ind w:left="720"/>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 </w:t>
      </w:r>
    </w:p>
    <w:p w:rsidRPr="00AB254B" w:rsidR="00A9455E" w:rsidP="00A9455E" w:rsidRDefault="00A9455E" w14:paraId="6893E839" w14:textId="77777777">
      <w:pPr>
        <w:ind w:left="720"/>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Providers of reports must be appropriately qualified professionals and members of </w:t>
      </w:r>
    </w:p>
    <w:p w:rsidRPr="00AB254B" w:rsidR="00A9455E" w:rsidP="00A9455E" w:rsidRDefault="00A9455E" w14:paraId="0D40CC52" w14:textId="77777777">
      <w:pPr>
        <w:ind w:left="720"/>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professional/regulatory bodies. Reports should be signed and on headed paper. </w:t>
      </w:r>
    </w:p>
    <w:p w:rsidRPr="00AB254B" w:rsidR="00A9455E" w:rsidP="00A9455E" w:rsidRDefault="00A9455E" w14:paraId="09EB11B3" w14:textId="77777777">
      <w:pPr>
        <w:ind w:left="720"/>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A GP’s own diagnosis of a disability/condition is not acceptable as evidence of disability for the purposes of the FSD. </w:t>
      </w:r>
    </w:p>
    <w:p w:rsidRPr="00AB254B" w:rsidR="00A9455E" w:rsidP="00A9455E" w:rsidRDefault="00A9455E" w14:paraId="1A12C471" w14:textId="77777777">
      <w:pPr>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 </w:t>
      </w:r>
    </w:p>
    <w:p w:rsidR="00A9455E" w:rsidP="00A9455E" w:rsidRDefault="00A9455E" w14:paraId="5D06D04E" w14:textId="77777777">
      <w:pPr>
        <w:textAlignment w:val="baseline"/>
        <w:rPr>
          <w:rFonts w:eastAsia="Times New Roman" w:cstheme="minorHAnsi"/>
          <w:kern w:val="0"/>
          <w:lang w:eastAsia="en-GB"/>
          <w14:ligatures w14:val="none"/>
        </w:rPr>
      </w:pPr>
      <w:r w:rsidRPr="00AB254B">
        <w:rPr>
          <w:rFonts w:eastAsia="Times New Roman" w:cstheme="minorHAnsi"/>
          <w:kern w:val="0"/>
          <w:lang w:eastAsia="en-GB"/>
          <w14:ligatures w14:val="none"/>
        </w:rPr>
        <w:t>In practice, this means that many students entering third-level settings will request registration with the Disability Service and access to reasonable accommodations and supports but may not have evidence of disability that meet the criteria for funding.   </w:t>
      </w:r>
    </w:p>
    <w:p w:rsidR="00A9455E" w:rsidP="00A9455E" w:rsidRDefault="00A9455E" w14:paraId="69723572" w14:textId="77777777">
      <w:pPr>
        <w:textAlignment w:val="baseline"/>
        <w:rPr>
          <w:rFonts w:eastAsia="Times New Roman" w:cstheme="minorHAnsi"/>
          <w:kern w:val="0"/>
          <w:lang w:eastAsia="en-GB"/>
          <w14:ligatures w14:val="none"/>
        </w:rPr>
      </w:pPr>
    </w:p>
    <w:p w:rsidR="00137313" w:rsidRDefault="00137313" w14:paraId="444E44F6" w14:textId="77777777"/>
    <w:sectPr w:rsidR="0013731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271"/>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E41A32"/>
    <w:multiLevelType w:val="hybridMultilevel"/>
    <w:tmpl w:val="54C80BE2"/>
    <w:lvl w:ilvl="0" w:tplc="D8B07D2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C5941F2"/>
    <w:multiLevelType w:val="multilevel"/>
    <w:tmpl w:val="5C6E47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0E8343C"/>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6D2659"/>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6659A1"/>
    <w:multiLevelType w:val="multilevel"/>
    <w:tmpl w:val="965A95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4994440"/>
    <w:multiLevelType w:val="multilevel"/>
    <w:tmpl w:val="2B2E11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B481E15"/>
    <w:multiLevelType w:val="multilevel"/>
    <w:tmpl w:val="82BAC2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CC11255"/>
    <w:multiLevelType w:val="multilevel"/>
    <w:tmpl w:val="19120F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EA36C49"/>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E670EA"/>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223898"/>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1752876">
    <w:abstractNumId w:val="5"/>
  </w:num>
  <w:num w:numId="2" w16cid:durableId="1676229374">
    <w:abstractNumId w:val="2"/>
  </w:num>
  <w:num w:numId="3" w16cid:durableId="693576707">
    <w:abstractNumId w:val="7"/>
  </w:num>
  <w:num w:numId="4" w16cid:durableId="1341548193">
    <w:abstractNumId w:val="4"/>
  </w:num>
  <w:num w:numId="5" w16cid:durableId="1731417051">
    <w:abstractNumId w:val="0"/>
  </w:num>
  <w:num w:numId="6" w16cid:durableId="851723837">
    <w:abstractNumId w:val="3"/>
  </w:num>
  <w:num w:numId="7" w16cid:durableId="229770942">
    <w:abstractNumId w:val="10"/>
  </w:num>
  <w:num w:numId="8" w16cid:durableId="2146507973">
    <w:abstractNumId w:val="9"/>
  </w:num>
  <w:num w:numId="9" w16cid:durableId="1266382991">
    <w:abstractNumId w:val="11"/>
  </w:num>
  <w:num w:numId="10" w16cid:durableId="199167334">
    <w:abstractNumId w:val="6"/>
  </w:num>
  <w:num w:numId="11" w16cid:durableId="787894615">
    <w:abstractNumId w:val="8"/>
  </w:num>
  <w:num w:numId="12" w16cid:durableId="2082171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55E"/>
    <w:rsid w:val="00137313"/>
    <w:rsid w:val="00287E9B"/>
    <w:rsid w:val="007E7985"/>
    <w:rsid w:val="0080268B"/>
    <w:rsid w:val="008D3F63"/>
    <w:rsid w:val="00A9455E"/>
    <w:rsid w:val="00B65C35"/>
    <w:rsid w:val="00EA7765"/>
    <w:rsid w:val="13BFECF1"/>
    <w:rsid w:val="5885B6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A1772F0"/>
  <w15:chartTrackingRefBased/>
  <w15:docId w15:val="{8E378566-7338-4C4A-9A0D-EDC4740D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A9455E"/>
    <w:pPr>
      <w:spacing w:before="100" w:beforeAutospacing="1" w:after="100" w:afterAutospacing="1"/>
      <w:outlineLvl w:val="0"/>
    </w:pPr>
    <w:rPr>
      <w:rFonts w:ascii="Times New Roman" w:hAnsi="Times New Roman" w:eastAsia="Times New Roman" w:cs="Times New Roman"/>
      <w:b/>
      <w:bCs/>
      <w:kern w:val="36"/>
      <w:sz w:val="48"/>
      <w:szCs w:val="48"/>
      <w:lang w:eastAsia="en-GB"/>
      <w14:ligatures w14:val="none"/>
    </w:rPr>
  </w:style>
  <w:style w:type="paragraph" w:styleId="Heading2">
    <w:name w:val="heading 2"/>
    <w:basedOn w:val="Normal"/>
    <w:link w:val="Heading2Char"/>
    <w:uiPriority w:val="9"/>
    <w:qFormat/>
    <w:rsid w:val="00A9455E"/>
    <w:pPr>
      <w:spacing w:before="100" w:beforeAutospacing="1" w:after="100" w:afterAutospacing="1"/>
      <w:outlineLvl w:val="1"/>
    </w:pPr>
    <w:rPr>
      <w:rFonts w:ascii="Times New Roman" w:hAnsi="Times New Roman" w:eastAsia="Times New Roman" w:cs="Times New Roman"/>
      <w:b/>
      <w:bCs/>
      <w:kern w:val="0"/>
      <w:sz w:val="36"/>
      <w:szCs w:val="36"/>
      <w:lang w:eastAsia="en-GB"/>
      <w14:ligatures w14:val="none"/>
    </w:rPr>
  </w:style>
  <w:style w:type="paragraph" w:styleId="Heading3">
    <w:name w:val="heading 3"/>
    <w:basedOn w:val="Normal"/>
    <w:link w:val="Heading3Char"/>
    <w:uiPriority w:val="9"/>
    <w:qFormat/>
    <w:rsid w:val="00A9455E"/>
    <w:pPr>
      <w:spacing w:before="100" w:beforeAutospacing="1" w:after="100" w:afterAutospacing="1"/>
      <w:outlineLvl w:val="2"/>
    </w:pPr>
    <w:rPr>
      <w:rFonts w:ascii="Times New Roman" w:hAnsi="Times New Roman" w:eastAsia="Times New Roman" w:cs="Times New Roman"/>
      <w:b/>
      <w:bCs/>
      <w:kern w:val="0"/>
      <w:sz w:val="27"/>
      <w:szCs w:val="27"/>
      <w:lang w:eastAsia="en-GB"/>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9455E"/>
    <w:rPr>
      <w:rFonts w:ascii="Times New Roman" w:hAnsi="Times New Roman" w:eastAsia="Times New Roman" w:cs="Times New Roman"/>
      <w:b/>
      <w:bCs/>
      <w:kern w:val="36"/>
      <w:sz w:val="48"/>
      <w:szCs w:val="48"/>
      <w:lang w:eastAsia="en-GB"/>
      <w14:ligatures w14:val="none"/>
    </w:rPr>
  </w:style>
  <w:style w:type="character" w:styleId="Heading2Char" w:customStyle="1">
    <w:name w:val="Heading 2 Char"/>
    <w:basedOn w:val="DefaultParagraphFont"/>
    <w:link w:val="Heading2"/>
    <w:uiPriority w:val="9"/>
    <w:rsid w:val="00A9455E"/>
    <w:rPr>
      <w:rFonts w:ascii="Times New Roman" w:hAnsi="Times New Roman" w:eastAsia="Times New Roman" w:cs="Times New Roman"/>
      <w:b/>
      <w:bCs/>
      <w:kern w:val="0"/>
      <w:sz w:val="36"/>
      <w:szCs w:val="36"/>
      <w:lang w:eastAsia="en-GB"/>
      <w14:ligatures w14:val="none"/>
    </w:rPr>
  </w:style>
  <w:style w:type="character" w:styleId="Heading3Char" w:customStyle="1">
    <w:name w:val="Heading 3 Char"/>
    <w:basedOn w:val="DefaultParagraphFont"/>
    <w:link w:val="Heading3"/>
    <w:uiPriority w:val="9"/>
    <w:rsid w:val="00A9455E"/>
    <w:rPr>
      <w:rFonts w:ascii="Times New Roman" w:hAnsi="Times New Roman" w:eastAsia="Times New Roman" w:cs="Times New Roman"/>
      <w:b/>
      <w:bCs/>
      <w:kern w:val="0"/>
      <w:sz w:val="27"/>
      <w:szCs w:val="27"/>
      <w:lang w:eastAsia="en-GB"/>
      <w14:ligatures w14:val="none"/>
    </w:rPr>
  </w:style>
  <w:style w:type="paragraph" w:styleId="NormalWeb">
    <w:name w:val="Normal (Web)"/>
    <w:basedOn w:val="Normal"/>
    <w:uiPriority w:val="99"/>
    <w:semiHidden/>
    <w:unhideWhenUsed/>
    <w:rsid w:val="00A9455E"/>
    <w:pPr>
      <w:spacing w:before="100" w:beforeAutospacing="1" w:after="100" w:afterAutospacing="1"/>
    </w:pPr>
    <w:rPr>
      <w:rFonts w:ascii="Times New Roman" w:hAnsi="Times New Roman" w:eastAsia="Times New Roman" w:cs="Times New Roman"/>
      <w:kern w:val="0"/>
      <w:lang w:eastAsia="en-GB"/>
      <w14:ligatures w14:val="none"/>
    </w:rPr>
  </w:style>
  <w:style w:type="character" w:styleId="Strong">
    <w:name w:val="Strong"/>
    <w:basedOn w:val="DefaultParagraphFont"/>
    <w:uiPriority w:val="22"/>
    <w:qFormat/>
    <w:rsid w:val="00A9455E"/>
    <w:rPr>
      <w:b/>
      <w:bCs/>
    </w:rPr>
  </w:style>
  <w:style w:type="character" w:styleId="Hyperlink">
    <w:name w:val="Hyperlink"/>
    <w:basedOn w:val="DefaultParagraphFont"/>
    <w:uiPriority w:val="99"/>
    <w:unhideWhenUsed/>
    <w:rsid w:val="00A9455E"/>
    <w:rPr>
      <w:color w:val="0563C1" w:themeColor="hyperlink"/>
      <w:u w:val="single"/>
    </w:rPr>
  </w:style>
  <w:style w:type="paragraph" w:styleId="ListParagraph">
    <w:name w:val="List Paragraph"/>
    <w:basedOn w:val="Normal"/>
    <w:uiPriority w:val="34"/>
    <w:qFormat/>
    <w:rsid w:val="00A94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139">
      <w:bodyDiv w:val="1"/>
      <w:marLeft w:val="0"/>
      <w:marRight w:val="0"/>
      <w:marTop w:val="0"/>
      <w:marBottom w:val="0"/>
      <w:divBdr>
        <w:top w:val="none" w:sz="0" w:space="0" w:color="auto"/>
        <w:left w:val="none" w:sz="0" w:space="0" w:color="auto"/>
        <w:bottom w:val="none" w:sz="0" w:space="0" w:color="auto"/>
        <w:right w:val="none" w:sz="0" w:space="0" w:color="auto"/>
      </w:divBdr>
      <w:divsChild>
        <w:div w:id="430197659">
          <w:marLeft w:val="0"/>
          <w:marRight w:val="0"/>
          <w:marTop w:val="0"/>
          <w:marBottom w:val="0"/>
          <w:divBdr>
            <w:top w:val="none" w:sz="0" w:space="0" w:color="auto"/>
            <w:left w:val="none" w:sz="0" w:space="0" w:color="auto"/>
            <w:bottom w:val="none" w:sz="0" w:space="0" w:color="auto"/>
            <w:right w:val="none" w:sz="0" w:space="0" w:color="auto"/>
          </w:divBdr>
          <w:divsChild>
            <w:div w:id="436102418">
              <w:marLeft w:val="0"/>
              <w:marRight w:val="0"/>
              <w:marTop w:val="0"/>
              <w:marBottom w:val="0"/>
              <w:divBdr>
                <w:top w:val="none" w:sz="0" w:space="0" w:color="auto"/>
                <w:left w:val="none" w:sz="0" w:space="0" w:color="auto"/>
                <w:bottom w:val="none" w:sz="0" w:space="0" w:color="auto"/>
                <w:right w:val="none" w:sz="0" w:space="0" w:color="auto"/>
              </w:divBdr>
              <w:divsChild>
                <w:div w:id="11815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ccesscollege.ie/wp-content/uploads/2023/01/DARE-2023-Handbook.pdf" TargetMode="Externa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hyperlink" Target="https://www.gov.ie/en/publication/91c1c-report-of-education-needs-for-the-purpose-of-assessment-of-need-disability-act-2005/"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ncse.ie/wp-content/uploads/2019/11/Progress-Report-Policy-Advice-on-Special-Schools-Classes-website-upload.pdf" TargetMode="External" Id="rId6" /><Relationship Type="http://schemas.openxmlformats.org/officeDocument/2006/relationships/fontTable" Target="fontTable.xml" Id="rId11" /><Relationship Type="http://schemas.openxmlformats.org/officeDocument/2006/relationships/hyperlink" Target="https://www.examinations.ie/schools/cs_view.php?q=23c5e7e2fe3a2712503dd9040040800987a46ab6" TargetMode="External" Id="rId5" /><Relationship Type="http://schemas.openxmlformats.org/officeDocument/2006/relationships/customXml" Target="../customXml/item3.xml" Id="rId15" /><Relationship Type="http://schemas.openxmlformats.org/officeDocument/2006/relationships/hyperlink" Target="https://hea.ie/assets/uploads/2018/06/FSD-Guidelines_2022-23-Final.pdf" TargetMode="External" Id="rId10" /><Relationship Type="http://schemas.openxmlformats.org/officeDocument/2006/relationships/webSettings" Target="webSettings.xml" Id="rId4" /><Relationship Type="http://schemas.openxmlformats.org/officeDocument/2006/relationships/hyperlink" Target="https://accesscollege.ie/wp-content/uploads/2023/01/DARE-2023-Handbook.pdf" TargetMode="External"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461E91-06C1-4C04-9B88-45E956386B27}"/>
</file>

<file path=customXml/itemProps2.xml><?xml version="1.0" encoding="utf-8"?>
<ds:datastoreItem xmlns:ds="http://schemas.openxmlformats.org/officeDocument/2006/customXml" ds:itemID="{9188D819-8CE0-4691-82F7-5B24F9CD5479}"/>
</file>

<file path=customXml/itemProps3.xml><?xml version="1.0" encoding="utf-8"?>
<ds:datastoreItem xmlns:ds="http://schemas.openxmlformats.org/officeDocument/2006/customXml" ds:itemID="{A855255C-597A-4E09-AF3E-91456CAB8FA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Declan Treanor</dc:creator>
  <keywords/>
  <dc:description/>
  <lastModifiedBy>Declan Treanor</lastModifiedBy>
  <revision>3</revision>
  <dcterms:created xsi:type="dcterms:W3CDTF">2024-03-17T14:42:00.0000000Z</dcterms:created>
  <dcterms:modified xsi:type="dcterms:W3CDTF">2024-06-05T05:57:30.2289639Z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y fmtid="{D5CDD505-2E9C-101B-9397-08002B2CF9AE}" pid="3" name="MediaServiceImageTags">
    <vt:lpwstr/>
  </property>
</Properties>
</file>