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12B87" w14:textId="77777777" w:rsidR="001756CC" w:rsidRPr="001756CC" w:rsidRDefault="001756CC" w:rsidP="001756CC">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1756CC">
        <w:rPr>
          <w:rFonts w:ascii="Times New Roman" w:eastAsia="Times New Roman" w:hAnsi="Times New Roman" w:cs="Times New Roman"/>
          <w:b/>
          <w:bCs/>
          <w:kern w:val="0"/>
          <w:sz w:val="27"/>
          <w:szCs w:val="27"/>
          <w:lang w:eastAsia="en-GB"/>
          <w14:ligatures w14:val="none"/>
        </w:rPr>
        <w:t>Guidelines for Providing Examination Papers in Alternative Formats</w:t>
      </w:r>
    </w:p>
    <w:p w14:paraId="4C7A91F3" w14:textId="77777777" w:rsidR="001756CC" w:rsidRPr="001756CC" w:rsidRDefault="001756CC" w:rsidP="001756CC">
      <w:pPr>
        <w:spacing w:before="100" w:beforeAutospacing="1" w:after="100" w:afterAutospacing="1"/>
        <w:rPr>
          <w:rFonts w:ascii="Times New Roman" w:eastAsia="Times New Roman" w:hAnsi="Times New Roman" w:cs="Times New Roman"/>
          <w:kern w:val="0"/>
          <w:lang w:eastAsia="en-GB"/>
          <w14:ligatures w14:val="none"/>
        </w:rPr>
      </w:pPr>
      <w:r w:rsidRPr="001756CC">
        <w:rPr>
          <w:rFonts w:ascii="Times New Roman" w:eastAsia="Times New Roman" w:hAnsi="Times New Roman" w:cs="Times New Roman"/>
          <w:kern w:val="0"/>
          <w:lang w:eastAsia="en-GB"/>
          <w14:ligatures w14:val="none"/>
        </w:rPr>
        <w:t>To effectively support students who require examination papers in alternative formats, universities should establish comprehensive guidelines that address the needs of students with visual impairments and other reading difficulties. These guidelines will help ensure that all students have equitable access to examination materials, thus maintaining the integrity and fairness of the testing process. Here’s a structured set of guidelines universities can adopt:</w:t>
      </w:r>
    </w:p>
    <w:p w14:paraId="659FC9C2" w14:textId="77777777" w:rsidR="001756CC" w:rsidRPr="001756CC" w:rsidRDefault="001756CC" w:rsidP="001756CC">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1756CC">
        <w:rPr>
          <w:rFonts w:ascii="Times New Roman" w:eastAsia="Times New Roman" w:hAnsi="Times New Roman" w:cs="Times New Roman"/>
          <w:b/>
          <w:bCs/>
          <w:kern w:val="0"/>
          <w:lang w:eastAsia="en-GB"/>
          <w14:ligatures w14:val="none"/>
        </w:rPr>
        <w:t>1. Assessment of Needs</w:t>
      </w:r>
    </w:p>
    <w:p w14:paraId="3E0C1103" w14:textId="77777777" w:rsidR="001756CC" w:rsidRPr="001756CC" w:rsidRDefault="001756CC" w:rsidP="001756CC">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1756CC">
        <w:rPr>
          <w:rFonts w:ascii="Times New Roman" w:eastAsia="Times New Roman" w:hAnsi="Times New Roman" w:cs="Times New Roman"/>
          <w:b/>
          <w:bCs/>
          <w:kern w:val="0"/>
          <w:lang w:eastAsia="en-GB"/>
          <w14:ligatures w14:val="none"/>
        </w:rPr>
        <w:t>1.1 Student Registration</w:t>
      </w:r>
      <w:r w:rsidRPr="001756CC">
        <w:rPr>
          <w:rFonts w:ascii="Times New Roman" w:eastAsia="Times New Roman" w:hAnsi="Times New Roman" w:cs="Times New Roman"/>
          <w:kern w:val="0"/>
          <w:lang w:eastAsia="en-GB"/>
          <w14:ligatures w14:val="none"/>
        </w:rPr>
        <w:t>: Require students needing alternative formats to register with the university’s disability support services well in advance of examination periods.</w:t>
      </w:r>
    </w:p>
    <w:p w14:paraId="6FF56B64" w14:textId="0FF97C61" w:rsidR="001756CC" w:rsidRPr="001756CC" w:rsidRDefault="001756CC" w:rsidP="001756CC">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1756CC">
        <w:rPr>
          <w:rFonts w:ascii="Times New Roman" w:eastAsia="Times New Roman" w:hAnsi="Times New Roman" w:cs="Times New Roman"/>
          <w:b/>
          <w:bCs/>
          <w:kern w:val="0"/>
          <w:lang w:eastAsia="en-GB"/>
          <w14:ligatures w14:val="none"/>
        </w:rPr>
        <w:t>1.2 Needs Assessment</w:t>
      </w:r>
      <w:r w:rsidRPr="001756CC">
        <w:rPr>
          <w:rFonts w:ascii="Times New Roman" w:eastAsia="Times New Roman" w:hAnsi="Times New Roman" w:cs="Times New Roman"/>
          <w:kern w:val="0"/>
          <w:lang w:eastAsia="en-GB"/>
          <w14:ligatures w14:val="none"/>
        </w:rPr>
        <w:t xml:space="preserve">: Conduct a thorough assessment of each registered student's specific needs to determine the most suitable format(s) for their examination papers, including electronic formats, enlarged print, tactile graphics, braille, or </w:t>
      </w:r>
      <w:r w:rsidRPr="001756CC">
        <w:rPr>
          <w:rFonts w:ascii="Times New Roman" w:eastAsia="Times New Roman" w:hAnsi="Times New Roman" w:cs="Times New Roman"/>
          <w:kern w:val="0"/>
          <w:lang w:eastAsia="en-GB"/>
          <w14:ligatures w14:val="none"/>
        </w:rPr>
        <w:t>coloured</w:t>
      </w:r>
      <w:r w:rsidRPr="001756CC">
        <w:rPr>
          <w:rFonts w:ascii="Times New Roman" w:eastAsia="Times New Roman" w:hAnsi="Times New Roman" w:cs="Times New Roman"/>
          <w:kern w:val="0"/>
          <w:lang w:eastAsia="en-GB"/>
          <w14:ligatures w14:val="none"/>
        </w:rPr>
        <w:t xml:space="preserve"> overlays.</w:t>
      </w:r>
    </w:p>
    <w:p w14:paraId="3525CA39" w14:textId="77777777" w:rsidR="001756CC" w:rsidRPr="001756CC" w:rsidRDefault="001756CC" w:rsidP="001756CC">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1756CC">
        <w:rPr>
          <w:rFonts w:ascii="Times New Roman" w:eastAsia="Times New Roman" w:hAnsi="Times New Roman" w:cs="Times New Roman"/>
          <w:b/>
          <w:bCs/>
          <w:kern w:val="0"/>
          <w:lang w:eastAsia="en-GB"/>
          <w14:ligatures w14:val="none"/>
        </w:rPr>
        <w:t>2. Preparation of Examination Papers</w:t>
      </w:r>
    </w:p>
    <w:p w14:paraId="05CBBFF5" w14:textId="77777777" w:rsidR="001756CC" w:rsidRPr="001756CC" w:rsidRDefault="001756CC" w:rsidP="001756CC">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1756CC">
        <w:rPr>
          <w:rFonts w:ascii="Times New Roman" w:eastAsia="Times New Roman" w:hAnsi="Times New Roman" w:cs="Times New Roman"/>
          <w:b/>
          <w:bCs/>
          <w:kern w:val="0"/>
          <w:lang w:eastAsia="en-GB"/>
          <w14:ligatures w14:val="none"/>
        </w:rPr>
        <w:t>2.1 Enlarged Print</w:t>
      </w:r>
      <w:r w:rsidRPr="001756CC">
        <w:rPr>
          <w:rFonts w:ascii="Times New Roman" w:eastAsia="Times New Roman" w:hAnsi="Times New Roman" w:cs="Times New Roman"/>
          <w:kern w:val="0"/>
          <w:lang w:eastAsia="en-GB"/>
          <w14:ligatures w14:val="none"/>
        </w:rPr>
        <w:t>: Provide examination papers in enlarged print for students with low vision. The size and font should be determined based on individual student needs and recommendations from visual health professionals.</w:t>
      </w:r>
    </w:p>
    <w:p w14:paraId="748FC5E9" w14:textId="77777777" w:rsidR="001756CC" w:rsidRPr="001756CC" w:rsidRDefault="001756CC" w:rsidP="001756CC">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1756CC">
        <w:rPr>
          <w:rFonts w:ascii="Times New Roman" w:eastAsia="Times New Roman" w:hAnsi="Times New Roman" w:cs="Times New Roman"/>
          <w:b/>
          <w:bCs/>
          <w:kern w:val="0"/>
          <w:lang w:eastAsia="en-GB"/>
          <w14:ligatures w14:val="none"/>
        </w:rPr>
        <w:t>2.2 Tactile Formats</w:t>
      </w:r>
      <w:r w:rsidRPr="001756CC">
        <w:rPr>
          <w:rFonts w:ascii="Times New Roman" w:eastAsia="Times New Roman" w:hAnsi="Times New Roman" w:cs="Times New Roman"/>
          <w:kern w:val="0"/>
          <w:lang w:eastAsia="en-GB"/>
          <w14:ligatures w14:val="none"/>
        </w:rPr>
        <w:t>: Convert graphs, diagrams, maps, and other visual elements into tactile formats for students who are blind or have significant visual impairments. Ensure that these are clearly interpretable and appropriately detailed.</w:t>
      </w:r>
    </w:p>
    <w:p w14:paraId="4AA8666B" w14:textId="77777777" w:rsidR="001756CC" w:rsidRPr="001756CC" w:rsidRDefault="001756CC" w:rsidP="001756CC">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1756CC">
        <w:rPr>
          <w:rFonts w:ascii="Times New Roman" w:eastAsia="Times New Roman" w:hAnsi="Times New Roman" w:cs="Times New Roman"/>
          <w:b/>
          <w:bCs/>
          <w:kern w:val="0"/>
          <w:lang w:eastAsia="en-GB"/>
          <w14:ligatures w14:val="none"/>
        </w:rPr>
        <w:t>2.3 Braille Papers</w:t>
      </w:r>
      <w:r w:rsidRPr="001756CC">
        <w:rPr>
          <w:rFonts w:ascii="Times New Roman" w:eastAsia="Times New Roman" w:hAnsi="Times New Roman" w:cs="Times New Roman"/>
          <w:kern w:val="0"/>
          <w:lang w:eastAsia="en-GB"/>
          <w14:ligatures w14:val="none"/>
        </w:rPr>
        <w:t>: Produce braille versions of the examination papers for students who are fluent braille readers. This should include all text and, where practical, raised representations of graphs or diagrams.</w:t>
      </w:r>
    </w:p>
    <w:p w14:paraId="396DEA91" w14:textId="0D39F715" w:rsidR="001756CC" w:rsidRPr="001756CC" w:rsidRDefault="001756CC" w:rsidP="001756CC">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1756CC">
        <w:rPr>
          <w:rFonts w:ascii="Times New Roman" w:eastAsia="Times New Roman" w:hAnsi="Times New Roman" w:cs="Times New Roman"/>
          <w:b/>
          <w:bCs/>
          <w:kern w:val="0"/>
          <w:lang w:eastAsia="en-GB"/>
          <w14:ligatures w14:val="none"/>
        </w:rPr>
        <w:t xml:space="preserve">2.4 </w:t>
      </w:r>
      <w:r w:rsidRPr="001756CC">
        <w:rPr>
          <w:rFonts w:ascii="Times New Roman" w:eastAsia="Times New Roman" w:hAnsi="Times New Roman" w:cs="Times New Roman"/>
          <w:b/>
          <w:bCs/>
          <w:kern w:val="0"/>
          <w:lang w:eastAsia="en-GB"/>
          <w14:ligatures w14:val="none"/>
        </w:rPr>
        <w:t>Coloured</w:t>
      </w:r>
      <w:r w:rsidRPr="001756CC">
        <w:rPr>
          <w:rFonts w:ascii="Times New Roman" w:eastAsia="Times New Roman" w:hAnsi="Times New Roman" w:cs="Times New Roman"/>
          <w:b/>
          <w:bCs/>
          <w:kern w:val="0"/>
          <w:lang w:eastAsia="en-GB"/>
          <w14:ligatures w14:val="none"/>
        </w:rPr>
        <w:t xml:space="preserve"> Overlays</w:t>
      </w:r>
      <w:r w:rsidRPr="001756CC">
        <w:rPr>
          <w:rFonts w:ascii="Times New Roman" w:eastAsia="Times New Roman" w:hAnsi="Times New Roman" w:cs="Times New Roman"/>
          <w:kern w:val="0"/>
          <w:lang w:eastAsia="en-GB"/>
          <w14:ligatures w14:val="none"/>
        </w:rPr>
        <w:t xml:space="preserve">: Provide </w:t>
      </w:r>
      <w:r w:rsidRPr="001756CC">
        <w:rPr>
          <w:rFonts w:ascii="Times New Roman" w:eastAsia="Times New Roman" w:hAnsi="Times New Roman" w:cs="Times New Roman"/>
          <w:kern w:val="0"/>
          <w:lang w:eastAsia="en-GB"/>
          <w14:ligatures w14:val="none"/>
        </w:rPr>
        <w:t>coloured</w:t>
      </w:r>
      <w:r w:rsidRPr="001756CC">
        <w:rPr>
          <w:rFonts w:ascii="Times New Roman" w:eastAsia="Times New Roman" w:hAnsi="Times New Roman" w:cs="Times New Roman"/>
          <w:kern w:val="0"/>
          <w:lang w:eastAsia="en-GB"/>
          <w14:ligatures w14:val="none"/>
        </w:rPr>
        <w:t xml:space="preserve"> overlays for students who require them to enhance readability due to visual strain or other reading difficulties.</w:t>
      </w:r>
    </w:p>
    <w:p w14:paraId="48CC9265" w14:textId="77777777" w:rsidR="001756CC" w:rsidRPr="001756CC" w:rsidRDefault="001756CC" w:rsidP="001756CC">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1756CC">
        <w:rPr>
          <w:rFonts w:ascii="Times New Roman" w:eastAsia="Times New Roman" w:hAnsi="Times New Roman" w:cs="Times New Roman"/>
          <w:b/>
          <w:bCs/>
          <w:kern w:val="0"/>
          <w:lang w:eastAsia="en-GB"/>
          <w14:ligatures w14:val="none"/>
        </w:rPr>
        <w:t>2.5 Electronic Formats</w:t>
      </w:r>
      <w:r w:rsidRPr="001756CC">
        <w:rPr>
          <w:rFonts w:ascii="Times New Roman" w:eastAsia="Times New Roman" w:hAnsi="Times New Roman" w:cs="Times New Roman"/>
          <w:kern w:val="0"/>
          <w:lang w:eastAsia="en-GB"/>
          <w14:ligatures w14:val="none"/>
        </w:rPr>
        <w:t>: Offer examination papers in accessible electronic formats that are compatible with screen readers, magnification software, and other assistive technologies. Ensure that these formats are secure and comply with examination standards.</w:t>
      </w:r>
    </w:p>
    <w:p w14:paraId="6B18FEBC" w14:textId="77777777" w:rsidR="001756CC" w:rsidRPr="001756CC" w:rsidRDefault="001756CC" w:rsidP="001756CC">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1756CC">
        <w:rPr>
          <w:rFonts w:ascii="Times New Roman" w:eastAsia="Times New Roman" w:hAnsi="Times New Roman" w:cs="Times New Roman"/>
          <w:b/>
          <w:bCs/>
          <w:kern w:val="0"/>
          <w:lang w:eastAsia="en-GB"/>
          <w14:ligatures w14:val="none"/>
        </w:rPr>
        <w:t>3. Logistical Arrangements</w:t>
      </w:r>
    </w:p>
    <w:p w14:paraId="38F16E87" w14:textId="77777777" w:rsidR="001756CC" w:rsidRPr="001756CC" w:rsidRDefault="001756CC" w:rsidP="001756CC">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1756CC">
        <w:rPr>
          <w:rFonts w:ascii="Times New Roman" w:eastAsia="Times New Roman" w:hAnsi="Times New Roman" w:cs="Times New Roman"/>
          <w:b/>
          <w:bCs/>
          <w:kern w:val="0"/>
          <w:lang w:eastAsia="en-GB"/>
          <w14:ligatures w14:val="none"/>
        </w:rPr>
        <w:t>3.1 Early Preparation</w:t>
      </w:r>
      <w:r w:rsidRPr="001756CC">
        <w:rPr>
          <w:rFonts w:ascii="Times New Roman" w:eastAsia="Times New Roman" w:hAnsi="Times New Roman" w:cs="Times New Roman"/>
          <w:kern w:val="0"/>
          <w:lang w:eastAsia="en-GB"/>
          <w14:ligatures w14:val="none"/>
        </w:rPr>
        <w:t>: Begin the adaptation of examination papers into alternative formats as early as possible to allow sufficient time for quality assurance and necessary revisions.</w:t>
      </w:r>
    </w:p>
    <w:p w14:paraId="212A112E" w14:textId="4017AACB" w:rsidR="001756CC" w:rsidRPr="001756CC" w:rsidRDefault="001756CC" w:rsidP="001756CC">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1756CC">
        <w:rPr>
          <w:rFonts w:ascii="Times New Roman" w:eastAsia="Times New Roman" w:hAnsi="Times New Roman" w:cs="Times New Roman"/>
          <w:b/>
          <w:bCs/>
          <w:kern w:val="0"/>
          <w:lang w:eastAsia="en-GB"/>
          <w14:ligatures w14:val="none"/>
        </w:rPr>
        <w:t>3.2 Secure Distribution</w:t>
      </w:r>
      <w:r w:rsidRPr="001756CC">
        <w:rPr>
          <w:rFonts w:ascii="Times New Roman" w:eastAsia="Times New Roman" w:hAnsi="Times New Roman" w:cs="Times New Roman"/>
          <w:kern w:val="0"/>
          <w:lang w:eastAsia="en-GB"/>
          <w14:ligatures w14:val="none"/>
        </w:rPr>
        <w:t>: Establish secure processes for the distribution of examination papers in alternative formats to protect the integrity of the examinations. This includes ensuring that electronic formats are distributed in a manner that prevents unauthori</w:t>
      </w:r>
      <w:r>
        <w:rPr>
          <w:rFonts w:ascii="Times New Roman" w:eastAsia="Times New Roman" w:hAnsi="Times New Roman" w:cs="Times New Roman"/>
          <w:kern w:val="0"/>
          <w:lang w:eastAsia="en-GB"/>
          <w14:ligatures w14:val="none"/>
        </w:rPr>
        <w:t>s</w:t>
      </w:r>
      <w:r w:rsidRPr="001756CC">
        <w:rPr>
          <w:rFonts w:ascii="Times New Roman" w:eastAsia="Times New Roman" w:hAnsi="Times New Roman" w:cs="Times New Roman"/>
          <w:kern w:val="0"/>
          <w:lang w:eastAsia="en-GB"/>
          <w14:ligatures w14:val="none"/>
        </w:rPr>
        <w:t>ed access.</w:t>
      </w:r>
    </w:p>
    <w:p w14:paraId="65E1C6E8" w14:textId="77777777" w:rsidR="001756CC" w:rsidRPr="001756CC" w:rsidRDefault="001756CC" w:rsidP="001756CC">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1756CC">
        <w:rPr>
          <w:rFonts w:ascii="Times New Roman" w:eastAsia="Times New Roman" w:hAnsi="Times New Roman" w:cs="Times New Roman"/>
          <w:b/>
          <w:bCs/>
          <w:kern w:val="0"/>
          <w:lang w:eastAsia="en-GB"/>
          <w14:ligatures w14:val="none"/>
        </w:rPr>
        <w:t>3.3 Examination Venue Setup</w:t>
      </w:r>
      <w:r w:rsidRPr="001756CC">
        <w:rPr>
          <w:rFonts w:ascii="Times New Roman" w:eastAsia="Times New Roman" w:hAnsi="Times New Roman" w:cs="Times New Roman"/>
          <w:kern w:val="0"/>
          <w:lang w:eastAsia="en-GB"/>
          <w14:ligatures w14:val="none"/>
        </w:rPr>
        <w:t>: Arrange for appropriate examination venues equipped to handle the specific needs associated with alternative formats, such as power outlets for electronic devices, appropriate lighting for enlarged print, and suitable desks for tactile formats.</w:t>
      </w:r>
    </w:p>
    <w:p w14:paraId="2198B123" w14:textId="77777777" w:rsidR="001756CC" w:rsidRPr="001756CC" w:rsidRDefault="001756CC" w:rsidP="001756CC">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1756CC">
        <w:rPr>
          <w:rFonts w:ascii="Times New Roman" w:eastAsia="Times New Roman" w:hAnsi="Times New Roman" w:cs="Times New Roman"/>
          <w:b/>
          <w:bCs/>
          <w:kern w:val="0"/>
          <w:lang w:eastAsia="en-GB"/>
          <w14:ligatures w14:val="none"/>
        </w:rPr>
        <w:lastRenderedPageBreak/>
        <w:t>4. During the Examination</w:t>
      </w:r>
    </w:p>
    <w:p w14:paraId="79D0530B" w14:textId="77777777" w:rsidR="001756CC" w:rsidRPr="001756CC" w:rsidRDefault="001756CC" w:rsidP="001756CC">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1756CC">
        <w:rPr>
          <w:rFonts w:ascii="Times New Roman" w:eastAsia="Times New Roman" w:hAnsi="Times New Roman" w:cs="Times New Roman"/>
          <w:b/>
          <w:bCs/>
          <w:kern w:val="0"/>
          <w:lang w:eastAsia="en-GB"/>
          <w14:ligatures w14:val="none"/>
        </w:rPr>
        <w:t>4.1 Proctoring and Support</w:t>
      </w:r>
      <w:r w:rsidRPr="001756CC">
        <w:rPr>
          <w:rFonts w:ascii="Times New Roman" w:eastAsia="Times New Roman" w:hAnsi="Times New Roman" w:cs="Times New Roman"/>
          <w:kern w:val="0"/>
          <w:lang w:eastAsia="en-GB"/>
          <w14:ligatures w14:val="none"/>
        </w:rPr>
        <w:t>: Train invigilators on the specific requirements and challenges associated with alternative formats. Provide immediate support during the examination to address any issues related to the use of these formats.</w:t>
      </w:r>
    </w:p>
    <w:p w14:paraId="480ECA33" w14:textId="77777777" w:rsidR="001756CC" w:rsidRPr="001756CC" w:rsidRDefault="001756CC" w:rsidP="001756CC">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1756CC">
        <w:rPr>
          <w:rFonts w:ascii="Times New Roman" w:eastAsia="Times New Roman" w:hAnsi="Times New Roman" w:cs="Times New Roman"/>
          <w:b/>
          <w:bCs/>
          <w:kern w:val="0"/>
          <w:lang w:eastAsia="en-GB"/>
          <w14:ligatures w14:val="none"/>
        </w:rPr>
        <w:t>4.2 Technical Assistance</w:t>
      </w:r>
      <w:r w:rsidRPr="001756CC">
        <w:rPr>
          <w:rFonts w:ascii="Times New Roman" w:eastAsia="Times New Roman" w:hAnsi="Times New Roman" w:cs="Times New Roman"/>
          <w:kern w:val="0"/>
          <w:lang w:eastAsia="en-GB"/>
          <w14:ligatures w14:val="none"/>
        </w:rPr>
        <w:t>: For electronic formats, ensure that technical assistance is readily available to address any issues with software or hardware.</w:t>
      </w:r>
    </w:p>
    <w:p w14:paraId="7A6FF472" w14:textId="77777777" w:rsidR="001756CC" w:rsidRPr="001756CC" w:rsidRDefault="001756CC" w:rsidP="001756CC">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1756CC">
        <w:rPr>
          <w:rFonts w:ascii="Times New Roman" w:eastAsia="Times New Roman" w:hAnsi="Times New Roman" w:cs="Times New Roman"/>
          <w:b/>
          <w:bCs/>
          <w:kern w:val="0"/>
          <w:lang w:eastAsia="en-GB"/>
          <w14:ligatures w14:val="none"/>
        </w:rPr>
        <w:t>5. Post-Examination</w:t>
      </w:r>
    </w:p>
    <w:p w14:paraId="3401A529" w14:textId="77777777" w:rsidR="001756CC" w:rsidRPr="001756CC" w:rsidRDefault="001756CC" w:rsidP="001756CC">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1756CC">
        <w:rPr>
          <w:rFonts w:ascii="Times New Roman" w:eastAsia="Times New Roman" w:hAnsi="Times New Roman" w:cs="Times New Roman"/>
          <w:b/>
          <w:bCs/>
          <w:kern w:val="0"/>
          <w:lang w:eastAsia="en-GB"/>
          <w14:ligatures w14:val="none"/>
        </w:rPr>
        <w:t>5.1 Feedback Collection</w:t>
      </w:r>
      <w:r w:rsidRPr="001756CC">
        <w:rPr>
          <w:rFonts w:ascii="Times New Roman" w:eastAsia="Times New Roman" w:hAnsi="Times New Roman" w:cs="Times New Roman"/>
          <w:kern w:val="0"/>
          <w:lang w:eastAsia="en-GB"/>
          <w14:ligatures w14:val="none"/>
        </w:rPr>
        <w:t>: Gather feedback from students and invigilators on the effectiveness of the alternative formats provided. This feedback is crucial for making improvements in future examination cycles.</w:t>
      </w:r>
    </w:p>
    <w:p w14:paraId="3E29F787" w14:textId="77777777" w:rsidR="001756CC" w:rsidRPr="001756CC" w:rsidRDefault="001756CC" w:rsidP="001756CC">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1756CC">
        <w:rPr>
          <w:rFonts w:ascii="Times New Roman" w:eastAsia="Times New Roman" w:hAnsi="Times New Roman" w:cs="Times New Roman"/>
          <w:b/>
          <w:bCs/>
          <w:kern w:val="0"/>
          <w:lang w:eastAsia="en-GB"/>
          <w14:ligatures w14:val="none"/>
        </w:rPr>
        <w:t>5.2 Review and Adjust</w:t>
      </w:r>
      <w:r w:rsidRPr="001756CC">
        <w:rPr>
          <w:rFonts w:ascii="Times New Roman" w:eastAsia="Times New Roman" w:hAnsi="Times New Roman" w:cs="Times New Roman"/>
          <w:kern w:val="0"/>
          <w:lang w:eastAsia="en-GB"/>
          <w14:ligatures w14:val="none"/>
        </w:rPr>
        <w:t>: Regularly review the procedures and technologies used for providing examination papers in alternative formats. Make necessary adjustments based on feedback, technological advancements, and changes in student needs.</w:t>
      </w:r>
    </w:p>
    <w:p w14:paraId="6B09C384" w14:textId="77777777" w:rsidR="001756CC" w:rsidRPr="001756CC" w:rsidRDefault="001756CC" w:rsidP="001756CC">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1756CC">
        <w:rPr>
          <w:rFonts w:ascii="Times New Roman" w:eastAsia="Times New Roman" w:hAnsi="Times New Roman" w:cs="Times New Roman"/>
          <w:b/>
          <w:bCs/>
          <w:kern w:val="0"/>
          <w:sz w:val="27"/>
          <w:szCs w:val="27"/>
          <w:lang w:eastAsia="en-GB"/>
          <w14:ligatures w14:val="none"/>
        </w:rPr>
        <w:t>Conclusion</w:t>
      </w:r>
    </w:p>
    <w:p w14:paraId="709E981C" w14:textId="77777777" w:rsidR="001756CC" w:rsidRPr="001756CC" w:rsidRDefault="001756CC" w:rsidP="001756CC">
      <w:pPr>
        <w:spacing w:before="100" w:beforeAutospacing="1" w:after="100" w:afterAutospacing="1"/>
        <w:rPr>
          <w:rFonts w:ascii="Times New Roman" w:eastAsia="Times New Roman" w:hAnsi="Times New Roman" w:cs="Times New Roman"/>
          <w:kern w:val="0"/>
          <w:lang w:eastAsia="en-GB"/>
          <w14:ligatures w14:val="none"/>
        </w:rPr>
      </w:pPr>
      <w:r w:rsidRPr="001756CC">
        <w:rPr>
          <w:rFonts w:ascii="Times New Roman" w:eastAsia="Times New Roman" w:hAnsi="Times New Roman" w:cs="Times New Roman"/>
          <w:kern w:val="0"/>
          <w:lang w:eastAsia="en-GB"/>
          <w14:ligatures w14:val="none"/>
        </w:rPr>
        <w:t>These guidelines aim to provide a structured approach to delivering examination papers in alternative formats, ensuring that all students, especially those with visual impairments and reading difficulties, can compete on an equal footing. By meticulously planning and implementing these guidelines, universities can enhance the inclusiveness and fairness of their academic assessment processes</w:t>
      </w:r>
    </w:p>
    <w:p w14:paraId="0A12C82B" w14:textId="77777777" w:rsidR="00137313" w:rsidRDefault="00137313"/>
    <w:sectPr w:rsidR="00137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713"/>
    <w:multiLevelType w:val="multilevel"/>
    <w:tmpl w:val="5B5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67508"/>
    <w:multiLevelType w:val="multilevel"/>
    <w:tmpl w:val="0D2C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862F5E"/>
    <w:multiLevelType w:val="multilevel"/>
    <w:tmpl w:val="B82C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B84022"/>
    <w:multiLevelType w:val="multilevel"/>
    <w:tmpl w:val="451C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370CD4"/>
    <w:multiLevelType w:val="multilevel"/>
    <w:tmpl w:val="8E7A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639356">
    <w:abstractNumId w:val="1"/>
  </w:num>
  <w:num w:numId="2" w16cid:durableId="1306811507">
    <w:abstractNumId w:val="2"/>
  </w:num>
  <w:num w:numId="3" w16cid:durableId="604653078">
    <w:abstractNumId w:val="0"/>
  </w:num>
  <w:num w:numId="4" w16cid:durableId="14695010">
    <w:abstractNumId w:val="4"/>
  </w:num>
  <w:num w:numId="5" w16cid:durableId="1608467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CC"/>
    <w:rsid w:val="00137313"/>
    <w:rsid w:val="001756CC"/>
    <w:rsid w:val="00287E9B"/>
    <w:rsid w:val="007E7985"/>
    <w:rsid w:val="0080268B"/>
    <w:rsid w:val="008D3F63"/>
    <w:rsid w:val="009845A6"/>
    <w:rsid w:val="00B65C35"/>
    <w:rsid w:val="00EA77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83F2C3D"/>
  <w15:chartTrackingRefBased/>
  <w15:docId w15:val="{C35C6822-D0FB-BE48-9D5E-7B80B237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6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56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756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756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56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56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6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6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6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6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56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756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756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56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6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6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6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6CC"/>
    <w:rPr>
      <w:rFonts w:eastAsiaTheme="majorEastAsia" w:cstheme="majorBidi"/>
      <w:color w:val="272727" w:themeColor="text1" w:themeTint="D8"/>
    </w:rPr>
  </w:style>
  <w:style w:type="paragraph" w:styleId="Title">
    <w:name w:val="Title"/>
    <w:basedOn w:val="Normal"/>
    <w:next w:val="Normal"/>
    <w:link w:val="TitleChar"/>
    <w:uiPriority w:val="10"/>
    <w:qFormat/>
    <w:rsid w:val="001756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6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6C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6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6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56CC"/>
    <w:rPr>
      <w:i/>
      <w:iCs/>
      <w:color w:val="404040" w:themeColor="text1" w:themeTint="BF"/>
    </w:rPr>
  </w:style>
  <w:style w:type="paragraph" w:styleId="ListParagraph">
    <w:name w:val="List Paragraph"/>
    <w:basedOn w:val="Normal"/>
    <w:uiPriority w:val="34"/>
    <w:qFormat/>
    <w:rsid w:val="001756CC"/>
    <w:pPr>
      <w:ind w:left="720"/>
      <w:contextualSpacing/>
    </w:pPr>
  </w:style>
  <w:style w:type="character" w:styleId="IntenseEmphasis">
    <w:name w:val="Intense Emphasis"/>
    <w:basedOn w:val="DefaultParagraphFont"/>
    <w:uiPriority w:val="21"/>
    <w:qFormat/>
    <w:rsid w:val="001756CC"/>
    <w:rPr>
      <w:i/>
      <w:iCs/>
      <w:color w:val="0F4761" w:themeColor="accent1" w:themeShade="BF"/>
    </w:rPr>
  </w:style>
  <w:style w:type="paragraph" w:styleId="IntenseQuote">
    <w:name w:val="Intense Quote"/>
    <w:basedOn w:val="Normal"/>
    <w:next w:val="Normal"/>
    <w:link w:val="IntenseQuoteChar"/>
    <w:uiPriority w:val="30"/>
    <w:qFormat/>
    <w:rsid w:val="001756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56CC"/>
    <w:rPr>
      <w:i/>
      <w:iCs/>
      <w:color w:val="0F4761" w:themeColor="accent1" w:themeShade="BF"/>
    </w:rPr>
  </w:style>
  <w:style w:type="character" w:styleId="IntenseReference">
    <w:name w:val="Intense Reference"/>
    <w:basedOn w:val="DefaultParagraphFont"/>
    <w:uiPriority w:val="32"/>
    <w:qFormat/>
    <w:rsid w:val="001756CC"/>
    <w:rPr>
      <w:b/>
      <w:bCs/>
      <w:smallCaps/>
      <w:color w:val="0F4761" w:themeColor="accent1" w:themeShade="BF"/>
      <w:spacing w:val="5"/>
    </w:rPr>
  </w:style>
  <w:style w:type="paragraph" w:styleId="NormalWeb">
    <w:name w:val="Normal (Web)"/>
    <w:basedOn w:val="Normal"/>
    <w:uiPriority w:val="99"/>
    <w:semiHidden/>
    <w:unhideWhenUsed/>
    <w:rsid w:val="001756C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756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151376">
      <w:bodyDiv w:val="1"/>
      <w:marLeft w:val="0"/>
      <w:marRight w:val="0"/>
      <w:marTop w:val="0"/>
      <w:marBottom w:val="0"/>
      <w:divBdr>
        <w:top w:val="none" w:sz="0" w:space="0" w:color="auto"/>
        <w:left w:val="none" w:sz="0" w:space="0" w:color="auto"/>
        <w:bottom w:val="none" w:sz="0" w:space="0" w:color="auto"/>
        <w:right w:val="none" w:sz="0" w:space="0" w:color="auto"/>
      </w:divBdr>
      <w:divsChild>
        <w:div w:id="513425074">
          <w:marLeft w:val="0"/>
          <w:marRight w:val="0"/>
          <w:marTop w:val="0"/>
          <w:marBottom w:val="0"/>
          <w:divBdr>
            <w:top w:val="none" w:sz="0" w:space="0" w:color="auto"/>
            <w:left w:val="none" w:sz="0" w:space="0" w:color="auto"/>
            <w:bottom w:val="none" w:sz="0" w:space="0" w:color="auto"/>
            <w:right w:val="none" w:sz="0" w:space="0" w:color="auto"/>
          </w:divBdr>
          <w:divsChild>
            <w:div w:id="2033604094">
              <w:marLeft w:val="0"/>
              <w:marRight w:val="0"/>
              <w:marTop w:val="0"/>
              <w:marBottom w:val="0"/>
              <w:divBdr>
                <w:top w:val="none" w:sz="0" w:space="0" w:color="auto"/>
                <w:left w:val="none" w:sz="0" w:space="0" w:color="auto"/>
                <w:bottom w:val="none" w:sz="0" w:space="0" w:color="auto"/>
                <w:right w:val="none" w:sz="0" w:space="0" w:color="auto"/>
              </w:divBdr>
              <w:divsChild>
                <w:div w:id="15637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74E45B-E399-493F-9C9B-DC741B30CC4B}"/>
</file>

<file path=customXml/itemProps2.xml><?xml version="1.0" encoding="utf-8"?>
<ds:datastoreItem xmlns:ds="http://schemas.openxmlformats.org/officeDocument/2006/customXml" ds:itemID="{EB7EFB5A-D49B-46DC-8A38-2E3232EFE44D}"/>
</file>

<file path=customXml/itemProps3.xml><?xml version="1.0" encoding="utf-8"?>
<ds:datastoreItem xmlns:ds="http://schemas.openxmlformats.org/officeDocument/2006/customXml" ds:itemID="{79A39EFA-B92C-4697-ADB0-4C04C69B721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1</cp:revision>
  <dcterms:created xsi:type="dcterms:W3CDTF">2024-04-25T08:59:00Z</dcterms:created>
  <dcterms:modified xsi:type="dcterms:W3CDTF">2024-04-25T09:00:00Z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