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3819" w:rsidR="004E3819" w:rsidP="004E3819" w:rsidRDefault="004E3819" w14:paraId="3E69271F" w14:textId="3868BE4F">
      <w:pPr>
        <w:spacing w:before="100" w:beforeAutospacing="1" w:after="100" w:afterAutospacing="1"/>
        <w:outlineLvl w:val="2"/>
        <w:rPr>
          <w:rFonts w:ascii="Calibri" w:hAnsi="Calibri" w:eastAsia="Times New Roman" w:cs="Calibri"/>
          <w:b/>
          <w:bCs/>
          <w:kern w:val="0"/>
          <w:sz w:val="27"/>
          <w:szCs w:val="27"/>
          <w:lang w:eastAsia="en-GB"/>
          <w14:ligatures w14:val="none"/>
        </w:rPr>
      </w:pPr>
      <w:r w:rsidRPr="004E3819">
        <w:rPr>
          <w:rFonts w:ascii="Calibri" w:hAnsi="Calibri" w:eastAsia="Times New Roman" w:cs="Calibri"/>
          <w:b/>
          <w:bCs/>
          <w:kern w:val="0"/>
          <w:sz w:val="27"/>
          <w:szCs w:val="27"/>
          <w:lang w:eastAsia="en-GB"/>
          <w14:ligatures w14:val="none"/>
        </w:rPr>
        <w:t xml:space="preserve">Guidelines for the Use of </w:t>
      </w:r>
      <w:r w:rsidRPr="004E3819">
        <w:rPr>
          <w:rFonts w:ascii="Calibri" w:hAnsi="Calibri" w:eastAsia="Times New Roman" w:cs="Calibri"/>
          <w:b/>
          <w:bCs/>
          <w:kern w:val="0"/>
          <w:sz w:val="27"/>
          <w:szCs w:val="27"/>
          <w:lang w:eastAsia="en-GB"/>
          <w14:ligatures w14:val="none"/>
        </w:rPr>
        <w:t xml:space="preserve">Medical </w:t>
      </w:r>
      <w:r w:rsidRPr="004E3819">
        <w:rPr>
          <w:rFonts w:ascii="Calibri" w:hAnsi="Calibri" w:eastAsia="Times New Roman" w:cs="Calibri"/>
          <w:b/>
          <w:bCs/>
          <w:kern w:val="0"/>
          <w:sz w:val="27"/>
          <w:szCs w:val="27"/>
          <w:lang w:eastAsia="en-GB"/>
          <w14:ligatures w14:val="none"/>
        </w:rPr>
        <w:t>Apps in Exams</w:t>
      </w:r>
    </w:p>
    <w:p w:rsidRPr="004E3819" w:rsidR="004E3819" w:rsidP="004E3819" w:rsidRDefault="004E3819" w14:paraId="293D8F5C" w14:textId="5AB2DB62">
      <w:p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kern w:val="0"/>
          <w:lang w:eastAsia="en-GB"/>
          <w14:ligatures w14:val="none"/>
        </w:rPr>
        <w:t xml:space="preserve">To ensure that students with specific medical needs are able to participate in examinations effectively and safely, it is crucial to establish clear guidelines for the use of electronic monitoring devices, such as mobile apps for managing medical conditions like Type 1 Diabetes. Below are detailed guidelines of a university's examination policies to address the use of such </w:t>
      </w:r>
      <w:r w:rsidRPr="004E3819">
        <w:rPr>
          <w:rFonts w:ascii="Calibri" w:hAnsi="Calibri" w:eastAsia="Times New Roman" w:cs="Calibri"/>
          <w:kern w:val="0"/>
          <w:lang w:eastAsia="en-GB"/>
          <w14:ligatures w14:val="none"/>
        </w:rPr>
        <w:t xml:space="preserve">medical </w:t>
      </w:r>
      <w:r w:rsidRPr="004E3819">
        <w:rPr>
          <w:rFonts w:ascii="Calibri" w:hAnsi="Calibri" w:eastAsia="Times New Roman" w:cs="Calibri"/>
          <w:kern w:val="0"/>
          <w:lang w:eastAsia="en-GB"/>
          <w14:ligatures w14:val="none"/>
        </w:rPr>
        <w:t>apps during exams.</w:t>
      </w:r>
    </w:p>
    <w:p w:rsidRPr="004E3819" w:rsidR="004E3819" w:rsidP="004E3819" w:rsidRDefault="004E3819" w14:paraId="6ADEB108" w14:textId="5CF4E03D">
      <w:pPr>
        <w:spacing w:before="100" w:beforeAutospacing="1" w:after="100" w:afterAutospacing="1"/>
        <w:outlineLvl w:val="3"/>
        <w:rPr>
          <w:rFonts w:ascii="Calibri" w:hAnsi="Calibri" w:eastAsia="Times New Roman" w:cs="Calibri"/>
          <w:b/>
          <w:bCs/>
          <w:kern w:val="0"/>
          <w:lang w:eastAsia="en-GB"/>
          <w14:ligatures w14:val="none"/>
        </w:rPr>
      </w:pPr>
      <w:r w:rsidRPr="004E3819">
        <w:rPr>
          <w:rFonts w:ascii="Calibri" w:hAnsi="Calibri" w:eastAsia="Times New Roman" w:cs="Calibri"/>
          <w:b/>
          <w:bCs/>
          <w:kern w:val="0"/>
          <w:lang w:eastAsia="en-GB"/>
          <w14:ligatures w14:val="none"/>
        </w:rPr>
        <w:t>Electronic Monitoring Devices</w:t>
      </w:r>
    </w:p>
    <w:p w:rsidRPr="004E3819" w:rsidR="004E3819" w:rsidP="004E3819" w:rsidRDefault="004E3819" w14:paraId="7C3A5DF0" w14:textId="77777777">
      <w:p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b/>
          <w:bCs/>
          <w:kern w:val="0"/>
          <w:lang w:eastAsia="en-GB"/>
          <w14:ligatures w14:val="none"/>
        </w:rPr>
        <w:t>Objective:</w:t>
      </w:r>
      <w:r w:rsidRPr="004E3819">
        <w:rPr>
          <w:rFonts w:ascii="Calibri" w:hAnsi="Calibri" w:eastAsia="Times New Roman" w:cs="Calibri"/>
          <w:kern w:val="0"/>
          <w:lang w:eastAsia="en-GB"/>
          <w14:ligatures w14:val="none"/>
        </w:rPr>
        <w:t xml:space="preserve"> To provide reasonable accommodations for students requiring electronic devices to monitor and manage medical conditions during examinations.</w:t>
      </w:r>
    </w:p>
    <w:p w:rsidRPr="004E3819" w:rsidR="004E3819" w:rsidP="004E3819" w:rsidRDefault="004E3819" w14:paraId="6632BEE4" w14:textId="77777777">
      <w:pPr>
        <w:spacing w:before="100" w:beforeAutospacing="1" w:after="100" w:afterAutospacing="1"/>
        <w:outlineLvl w:val="3"/>
        <w:rPr>
          <w:rFonts w:ascii="Calibri" w:hAnsi="Calibri" w:eastAsia="Times New Roman" w:cs="Calibri"/>
          <w:b/>
          <w:bCs/>
          <w:kern w:val="0"/>
          <w:lang w:eastAsia="en-GB"/>
          <w14:ligatures w14:val="none"/>
        </w:rPr>
      </w:pPr>
      <w:r w:rsidRPr="004E3819">
        <w:rPr>
          <w:rFonts w:ascii="Calibri" w:hAnsi="Calibri" w:eastAsia="Times New Roman" w:cs="Calibri"/>
          <w:b/>
          <w:bCs/>
          <w:kern w:val="0"/>
          <w:lang w:eastAsia="en-GB"/>
          <w14:ligatures w14:val="none"/>
        </w:rPr>
        <w:t>Procedures for Use of Electronic Monitoring Devices</w:t>
      </w:r>
    </w:p>
    <w:p w:rsidRPr="004E3819" w:rsidR="004E3819" w:rsidP="004E3819" w:rsidRDefault="004E3819" w14:paraId="43D210A9" w14:textId="77777777">
      <w:p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b/>
          <w:bCs/>
          <w:kern w:val="0"/>
          <w:lang w:eastAsia="en-GB"/>
          <w14:ligatures w14:val="none"/>
        </w:rPr>
        <w:t>1. Notification and Registration:</w:t>
      </w:r>
    </w:p>
    <w:p w:rsidRPr="004E3819" w:rsidR="004E3819" w:rsidP="004E3819" w:rsidRDefault="004E3819" w14:paraId="6CD60972" w14:textId="47F9557E">
      <w:pPr>
        <w:numPr>
          <w:ilvl w:val="0"/>
          <w:numId w:val="1"/>
        </w:num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kern w:val="0"/>
          <w:lang w:eastAsia="en-GB"/>
          <w14:ligatures w14:val="none"/>
        </w:rPr>
        <w:t xml:space="preserve">Students must register their medical device needs with the Disability Service at the start of the academic term and include this requirement in their Learning </w:t>
      </w:r>
      <w:r w:rsidRPr="004E3819">
        <w:rPr>
          <w:rFonts w:ascii="Calibri" w:hAnsi="Calibri" w:eastAsia="Times New Roman" w:cs="Calibri"/>
          <w:kern w:val="0"/>
          <w:lang w:eastAsia="en-GB"/>
          <w14:ligatures w14:val="none"/>
        </w:rPr>
        <w:t>Needs Assessment</w:t>
      </w:r>
      <w:r w:rsidRPr="004E3819">
        <w:rPr>
          <w:rFonts w:ascii="Calibri" w:hAnsi="Calibri" w:eastAsia="Times New Roman" w:cs="Calibri"/>
          <w:kern w:val="0"/>
          <w:lang w:eastAsia="en-GB"/>
          <w14:ligatures w14:val="none"/>
        </w:rPr>
        <w:t>.</w:t>
      </w:r>
    </w:p>
    <w:p w:rsidRPr="004E3819" w:rsidR="004E3819" w:rsidP="004E3819" w:rsidRDefault="004E3819" w14:paraId="6A354363" w14:textId="77777777">
      <w:pPr>
        <w:numPr>
          <w:ilvl w:val="0"/>
          <w:numId w:val="1"/>
        </w:num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kern w:val="0"/>
          <w:lang w:eastAsia="en-GB"/>
          <w14:ligatures w14:val="none"/>
        </w:rPr>
        <w:t>Prior to the examination, students should notify the invigilator about their need to access a mobile device during the exam for medical monitoring purposes.</w:t>
      </w:r>
    </w:p>
    <w:p w:rsidRPr="004E3819" w:rsidR="004E3819" w:rsidP="004E3819" w:rsidRDefault="004E3819" w14:paraId="1867193D" w14:textId="77777777">
      <w:p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b/>
          <w:bCs/>
          <w:kern w:val="0"/>
          <w:lang w:eastAsia="en-GB"/>
          <w14:ligatures w14:val="none"/>
        </w:rPr>
        <w:t>2. Device Handling and Security:</w:t>
      </w:r>
    </w:p>
    <w:p w:rsidRPr="004E3819" w:rsidR="004E3819" w:rsidP="004E3819" w:rsidRDefault="004E3819" w14:paraId="463FFEB2" w14:textId="77777777">
      <w:pPr>
        <w:numPr>
          <w:ilvl w:val="0"/>
          <w:numId w:val="2"/>
        </w:num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kern w:val="0"/>
          <w:lang w:eastAsia="en-GB"/>
          <w14:ligatures w14:val="none"/>
        </w:rPr>
        <w:t>The student's mobile phone must be set to silent and flight mode before being handed over to the Senior Invigilator at the start of the examination.</w:t>
      </w:r>
    </w:p>
    <w:p w:rsidRPr="004E3819" w:rsidR="004E3819" w:rsidP="004E3819" w:rsidRDefault="004E3819" w14:paraId="201ABBB9" w14:textId="77777777">
      <w:pPr>
        <w:numPr>
          <w:ilvl w:val="0"/>
          <w:numId w:val="2"/>
        </w:num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kern w:val="0"/>
          <w:lang w:eastAsia="en-GB"/>
          <w14:ligatures w14:val="none"/>
        </w:rPr>
        <w:t>The phone will be stored in a secure location accessible only by the invigilator.</w:t>
      </w:r>
    </w:p>
    <w:p w:rsidRPr="004E3819" w:rsidR="004E3819" w:rsidP="004E3819" w:rsidRDefault="004E3819" w14:paraId="3CA05F81" w14:textId="77777777">
      <w:p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b/>
          <w:bCs/>
          <w:kern w:val="0"/>
          <w:lang w:eastAsia="en-GB"/>
          <w14:ligatures w14:val="none"/>
        </w:rPr>
        <w:t>3. Accessing the Device:</w:t>
      </w:r>
    </w:p>
    <w:p w:rsidRPr="004E3819" w:rsidR="004E3819" w:rsidP="004E3819" w:rsidRDefault="004E3819" w14:paraId="6F7CB3A6" w14:textId="77777777">
      <w:pPr>
        <w:numPr>
          <w:ilvl w:val="0"/>
          <w:numId w:val="3"/>
        </w:num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kern w:val="0"/>
          <w:lang w:eastAsia="en-GB"/>
          <w14:ligatures w14:val="none"/>
        </w:rPr>
        <w:t>When a student needs to check their device, such as to monitor glucose levels via an insulin pump app, they must signal the invigilator by raising their hand.</w:t>
      </w:r>
    </w:p>
    <w:p w:rsidRPr="004E3819" w:rsidR="004E3819" w:rsidP="004E3819" w:rsidRDefault="004E3819" w14:paraId="1E04D4B4" w14:textId="77777777">
      <w:pPr>
        <w:numPr>
          <w:ilvl w:val="0"/>
          <w:numId w:val="3"/>
        </w:num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kern w:val="0"/>
          <w:lang w:eastAsia="en-GB"/>
          <w14:ligatures w14:val="none"/>
        </w:rPr>
        <w:t>The invigilator will accompany the student to a designated area outside the exam room to access their phone. This ensures that the student’s use of the device is strictly for medical purposes and under supervision.</w:t>
      </w:r>
    </w:p>
    <w:p w:rsidRPr="004E3819" w:rsidR="004E3819" w:rsidP="004E3819" w:rsidRDefault="004E3819" w14:paraId="3A60B85C" w14:textId="77777777">
      <w:p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b/>
          <w:bCs/>
          <w:kern w:val="0"/>
          <w:lang w:eastAsia="en-GB"/>
          <w14:ligatures w14:val="none"/>
        </w:rPr>
        <w:t>4. Post-Use Protocol:</w:t>
      </w:r>
    </w:p>
    <w:p w:rsidRPr="004E3819" w:rsidR="004E3819" w:rsidP="004E3819" w:rsidRDefault="004E3819" w14:paraId="2B8D7964" w14:textId="77777777">
      <w:pPr>
        <w:numPr>
          <w:ilvl w:val="0"/>
          <w:numId w:val="4"/>
        </w:num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kern w:val="0"/>
          <w:lang w:eastAsia="en-GB"/>
          <w14:ligatures w14:val="none"/>
        </w:rPr>
        <w:t>After using the device, the student will immediately hand it back to the invigilator, who will return it to the secure location.</w:t>
      </w:r>
    </w:p>
    <w:p w:rsidRPr="004E3819" w:rsidR="004E3819" w:rsidP="004E3819" w:rsidRDefault="004E3819" w14:paraId="6D76AE3E" w14:textId="77777777">
      <w:pPr>
        <w:numPr>
          <w:ilvl w:val="0"/>
          <w:numId w:val="4"/>
        </w:num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kern w:val="0"/>
          <w:lang w:eastAsia="en-GB"/>
          <w14:ligatures w14:val="none"/>
        </w:rPr>
        <w:t>The student will then re-enter the exam room to continue with their examination.</w:t>
      </w:r>
    </w:p>
    <w:p w:rsidRPr="004E3819" w:rsidR="004E3819" w:rsidP="004E3819" w:rsidRDefault="004E3819" w14:paraId="7D077436" w14:textId="77777777">
      <w:p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b/>
          <w:bCs/>
          <w:kern w:val="0"/>
          <w:lang w:eastAsia="en-GB"/>
          <w14:ligatures w14:val="none"/>
        </w:rPr>
        <w:t>5. Time Accommodation:</w:t>
      </w:r>
    </w:p>
    <w:p w:rsidRPr="004E3819" w:rsidR="004E3819" w:rsidP="004E3819" w:rsidRDefault="004E3819" w14:paraId="220226D7" w14:textId="77777777">
      <w:pPr>
        <w:numPr>
          <w:ilvl w:val="0"/>
          <w:numId w:val="5"/>
        </w:num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kern w:val="0"/>
          <w:lang w:eastAsia="en-GB"/>
          <w14:ligatures w14:val="none"/>
        </w:rPr>
        <w:t>Any time spent accessing the device will be recorded and added to the end of the student's examination time to ensure they are given the full time allocated for their exam.</w:t>
      </w:r>
    </w:p>
    <w:p w:rsidRPr="004E3819" w:rsidR="004E3819" w:rsidP="004E3819" w:rsidRDefault="004E3819" w14:paraId="4798DD3F" w14:textId="77777777">
      <w:p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b/>
          <w:bCs/>
          <w:kern w:val="0"/>
          <w:lang w:eastAsia="en-GB"/>
          <w14:ligatures w14:val="none"/>
        </w:rPr>
        <w:lastRenderedPageBreak/>
        <w:t>6. Privacy and Non-Distraction:</w:t>
      </w:r>
    </w:p>
    <w:p w:rsidRPr="004E3819" w:rsidR="004E3819" w:rsidP="004E3819" w:rsidRDefault="004E3819" w14:paraId="4E6C9D3E" w14:textId="0EF14B69">
      <w:pPr>
        <w:numPr>
          <w:ilvl w:val="0"/>
          <w:numId w:val="6"/>
        </w:num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kern w:val="0"/>
          <w:lang w:eastAsia="en-GB"/>
          <w14:ligatures w14:val="none"/>
        </w:rPr>
        <w:t>The examination venue for students needing access to electronic devices will generally be a smaller, shared venue to minimi</w:t>
      </w:r>
      <w:r w:rsidRPr="004E3819">
        <w:rPr>
          <w:rFonts w:ascii="Calibri" w:hAnsi="Calibri" w:eastAsia="Times New Roman" w:cs="Calibri"/>
          <w:kern w:val="0"/>
          <w:lang w:eastAsia="en-GB"/>
          <w14:ligatures w14:val="none"/>
        </w:rPr>
        <w:t>s</w:t>
      </w:r>
      <w:r w:rsidRPr="004E3819">
        <w:rPr>
          <w:rFonts w:ascii="Calibri" w:hAnsi="Calibri" w:eastAsia="Times New Roman" w:cs="Calibri"/>
          <w:kern w:val="0"/>
          <w:lang w:eastAsia="en-GB"/>
          <w14:ligatures w14:val="none"/>
        </w:rPr>
        <w:t>e disruptions to other examinees.</w:t>
      </w:r>
    </w:p>
    <w:p w:rsidRPr="004E3819" w:rsidR="004E3819" w:rsidP="004E3819" w:rsidRDefault="004E3819" w14:paraId="37D927D2" w14:textId="77777777">
      <w:pPr>
        <w:numPr>
          <w:ilvl w:val="0"/>
          <w:numId w:val="6"/>
        </w:num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kern w:val="0"/>
          <w:lang w:eastAsia="en-GB"/>
          <w14:ligatures w14:val="none"/>
        </w:rPr>
        <w:t>Devices must be housed in a non-reflective, muted case to further reduce any potential for distraction.</w:t>
      </w:r>
    </w:p>
    <w:p w:rsidRPr="004E3819" w:rsidR="004E3819" w:rsidP="004E3819" w:rsidRDefault="004E3819" w14:paraId="20D96408" w14:textId="77777777">
      <w:pPr>
        <w:spacing w:before="100" w:beforeAutospacing="1" w:after="100" w:afterAutospacing="1"/>
        <w:outlineLvl w:val="3"/>
        <w:rPr>
          <w:rFonts w:ascii="Calibri" w:hAnsi="Calibri" w:eastAsia="Times New Roman" w:cs="Calibri"/>
          <w:b/>
          <w:bCs/>
          <w:kern w:val="0"/>
          <w:lang w:eastAsia="en-GB"/>
          <w14:ligatures w14:val="none"/>
        </w:rPr>
      </w:pPr>
      <w:r w:rsidRPr="004E3819">
        <w:rPr>
          <w:rFonts w:ascii="Calibri" w:hAnsi="Calibri" w:eastAsia="Times New Roman" w:cs="Calibri"/>
          <w:b/>
          <w:bCs/>
          <w:kern w:val="0"/>
          <w:lang w:eastAsia="en-GB"/>
          <w14:ligatures w14:val="none"/>
        </w:rPr>
        <w:t>Additional Guidelines for Departmental Examinations</w:t>
      </w:r>
    </w:p>
    <w:p w:rsidRPr="004E3819" w:rsidR="004E3819" w:rsidP="004E3819" w:rsidRDefault="004E3819" w14:paraId="4EDF37FC" w14:textId="77777777">
      <w:p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b/>
          <w:bCs/>
          <w:kern w:val="0"/>
          <w:lang w:eastAsia="en-GB"/>
          <w14:ligatures w14:val="none"/>
        </w:rPr>
        <w:t>Identification and Communication:</w:t>
      </w:r>
    </w:p>
    <w:p w:rsidRPr="004E3819" w:rsidR="004E3819" w:rsidP="004E3819" w:rsidRDefault="004E3819" w14:paraId="64739769" w14:textId="77777777">
      <w:pPr>
        <w:numPr>
          <w:ilvl w:val="0"/>
          <w:numId w:val="7"/>
        </w:num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kern w:val="0"/>
          <w:lang w:eastAsia="en-GB"/>
          <w14:ligatures w14:val="none"/>
        </w:rPr>
        <w:t>Academic staff are responsible for identifying students with accommodation needs based on Disability Service registrations and ensuring these students are informed about their specific accommodations well in advance of the exam.</w:t>
      </w:r>
    </w:p>
    <w:p w:rsidRPr="004E3819" w:rsidR="004E3819" w:rsidP="004E3819" w:rsidRDefault="004E3819" w14:paraId="41848151" w14:textId="77777777">
      <w:p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b/>
          <w:bCs/>
          <w:kern w:val="0"/>
          <w:lang w:eastAsia="en-GB"/>
          <w14:ligatures w14:val="none"/>
        </w:rPr>
        <w:t>Venue Setup:</w:t>
      </w:r>
    </w:p>
    <w:p w:rsidRPr="004E3819" w:rsidR="004E3819" w:rsidP="004E3819" w:rsidRDefault="004E3819" w14:paraId="1361E907" w14:textId="77777777">
      <w:pPr>
        <w:numPr>
          <w:ilvl w:val="0"/>
          <w:numId w:val="8"/>
        </w:num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kern w:val="0"/>
          <w:lang w:eastAsia="en-GB"/>
          <w14:ligatures w14:val="none"/>
        </w:rPr>
        <w:t>Arrange appropriate venues that cater to the needs of students with disabilities, such as providing a quiet seminar room, a low-distraction environment, or access to necessary technological aids.</w:t>
      </w:r>
    </w:p>
    <w:p w:rsidRPr="004E3819" w:rsidR="004E3819" w:rsidP="004E3819" w:rsidRDefault="004E3819" w14:paraId="2E357AE6" w14:textId="77777777">
      <w:p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b/>
          <w:bCs/>
          <w:kern w:val="0"/>
          <w:lang w:eastAsia="en-GB"/>
          <w14:ligatures w14:val="none"/>
        </w:rPr>
        <w:t>Consultation and Preparation:</w:t>
      </w:r>
    </w:p>
    <w:p w:rsidRPr="004E3819" w:rsidR="004E3819" w:rsidP="004E3819" w:rsidRDefault="004E3819" w14:paraId="54B89CB9" w14:textId="77777777">
      <w:pPr>
        <w:numPr>
          <w:ilvl w:val="0"/>
          <w:numId w:val="9"/>
        </w:num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kern w:val="0"/>
          <w:lang w:eastAsia="en-GB"/>
          <w14:ligatures w14:val="none"/>
        </w:rPr>
        <w:t>Maintain regular communication with the Disability Service to receive updates and guidance on accommodating students effectively.</w:t>
      </w:r>
    </w:p>
    <w:p w:rsidRPr="004E3819" w:rsidR="004E3819" w:rsidP="004E3819" w:rsidRDefault="004E3819" w14:paraId="496156DF" w14:textId="77777777">
      <w:pPr>
        <w:numPr>
          <w:ilvl w:val="0"/>
          <w:numId w:val="9"/>
        </w:num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kern w:val="0"/>
          <w:lang w:eastAsia="en-GB"/>
          <w14:ligatures w14:val="none"/>
        </w:rPr>
        <w:t>Develop and implement backup plans to address unforeseen issues during examinations.</w:t>
      </w:r>
    </w:p>
    <w:p w:rsidRPr="004E3819" w:rsidR="004E3819" w:rsidP="004E3819" w:rsidRDefault="004E3819" w14:paraId="364E97E8" w14:textId="77777777">
      <w:p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b/>
          <w:bCs/>
          <w:kern w:val="0"/>
          <w:lang w:eastAsia="en-GB"/>
          <w14:ligatures w14:val="none"/>
        </w:rPr>
        <w:t>Student Responsibilities:</w:t>
      </w:r>
    </w:p>
    <w:p w:rsidRPr="004E3819" w:rsidR="004E3819" w:rsidP="004E3819" w:rsidRDefault="004E3819" w14:paraId="00267288" w14:textId="77777777">
      <w:pPr>
        <w:numPr>
          <w:ilvl w:val="0"/>
          <w:numId w:val="10"/>
        </w:numPr>
        <w:spacing w:before="100" w:beforeAutospacing="1" w:after="100" w:afterAutospacing="1"/>
        <w:rPr>
          <w:rFonts w:ascii="Calibri" w:hAnsi="Calibri" w:eastAsia="Times New Roman" w:cs="Calibri"/>
          <w:kern w:val="0"/>
          <w:lang w:eastAsia="en-GB"/>
          <w14:ligatures w14:val="none"/>
        </w:rPr>
      </w:pPr>
      <w:r w:rsidRPr="004E3819" w:rsidR="004E3819">
        <w:rPr>
          <w:rFonts w:ascii="Calibri" w:hAnsi="Calibri" w:eastAsia="Times New Roman" w:cs="Calibri"/>
          <w:kern w:val="0"/>
          <w:lang w:eastAsia="en-GB"/>
          <w14:ligatures w14:val="none"/>
        </w:rPr>
        <w:t>Students are required to initiate contact with their department well in advance of their exams to confirm accommodations and understand the procedures involved.</w:t>
      </w:r>
    </w:p>
    <w:p w:rsidR="631E6CB7" w:rsidP="631E6CB7" w:rsidRDefault="631E6CB7" w14:paraId="269CCD1C" w14:textId="1744955A">
      <w:pPr>
        <w:spacing w:beforeAutospacing="on" w:afterAutospacing="on"/>
        <w:rPr>
          <w:rFonts w:ascii="Calibri" w:hAnsi="Calibri" w:eastAsia="Times New Roman" w:cs="Calibri"/>
          <w:lang w:eastAsia="en-GB"/>
        </w:rPr>
      </w:pPr>
    </w:p>
    <w:p w:rsidRPr="004E3819" w:rsidR="004E3819" w:rsidP="004E3819" w:rsidRDefault="004E3819" w14:paraId="5E047750" w14:textId="77777777">
      <w:pPr>
        <w:spacing w:before="100" w:beforeAutospacing="1" w:after="100" w:afterAutospacing="1"/>
        <w:rPr>
          <w:rFonts w:ascii="Calibri" w:hAnsi="Calibri" w:eastAsia="Times New Roman" w:cs="Calibri"/>
          <w:kern w:val="0"/>
          <w:lang w:eastAsia="en-GB"/>
          <w14:ligatures w14:val="none"/>
        </w:rPr>
      </w:pPr>
      <w:r w:rsidRPr="004E3819">
        <w:rPr>
          <w:rFonts w:ascii="Calibri" w:hAnsi="Calibri" w:eastAsia="Times New Roman" w:cs="Calibri"/>
          <w:kern w:val="0"/>
          <w:lang w:eastAsia="en-GB"/>
          <w14:ligatures w14:val="none"/>
        </w:rPr>
        <w:t>By adhering to these guidelines, universities can ensure that all students, particularly those with significant medical needs, are provided the necessary support to manage their conditions without compromising the integrity of the examination process. These measures aim to foster an inclusive academic environment that upholds both fairness and academic standards</w:t>
      </w:r>
    </w:p>
    <w:p w:rsidR="00137313" w:rsidRDefault="00137313" w14:paraId="075C7219" w14:textId="77777777"/>
    <w:sectPr w:rsidR="001373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0C71"/>
    <w:multiLevelType w:val="multilevel"/>
    <w:tmpl w:val="DE1ED4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E8E54A3"/>
    <w:multiLevelType w:val="multilevel"/>
    <w:tmpl w:val="7D4676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B8016F4"/>
    <w:multiLevelType w:val="multilevel"/>
    <w:tmpl w:val="6860B0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05315DE"/>
    <w:multiLevelType w:val="multilevel"/>
    <w:tmpl w:val="3BF471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14564FB"/>
    <w:multiLevelType w:val="multilevel"/>
    <w:tmpl w:val="7D42DB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8AE73A6"/>
    <w:multiLevelType w:val="multilevel"/>
    <w:tmpl w:val="ED6612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0953CAC"/>
    <w:multiLevelType w:val="multilevel"/>
    <w:tmpl w:val="8758E4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3CD2B37"/>
    <w:multiLevelType w:val="multilevel"/>
    <w:tmpl w:val="3216F6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481653B"/>
    <w:multiLevelType w:val="multilevel"/>
    <w:tmpl w:val="9CD886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6D171D6"/>
    <w:multiLevelType w:val="multilevel"/>
    <w:tmpl w:val="FC2A9A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880436162">
    <w:abstractNumId w:val="5"/>
  </w:num>
  <w:num w:numId="2" w16cid:durableId="1302686143">
    <w:abstractNumId w:val="3"/>
  </w:num>
  <w:num w:numId="3" w16cid:durableId="1071346711">
    <w:abstractNumId w:val="0"/>
  </w:num>
  <w:num w:numId="4" w16cid:durableId="400906181">
    <w:abstractNumId w:val="8"/>
  </w:num>
  <w:num w:numId="5" w16cid:durableId="34744817">
    <w:abstractNumId w:val="9"/>
  </w:num>
  <w:num w:numId="6" w16cid:durableId="46029560">
    <w:abstractNumId w:val="2"/>
  </w:num>
  <w:num w:numId="7" w16cid:durableId="718209671">
    <w:abstractNumId w:val="4"/>
  </w:num>
  <w:num w:numId="8" w16cid:durableId="598148418">
    <w:abstractNumId w:val="1"/>
  </w:num>
  <w:num w:numId="9" w16cid:durableId="155071873">
    <w:abstractNumId w:val="7"/>
  </w:num>
  <w:num w:numId="10" w16cid:durableId="1114252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19"/>
    <w:rsid w:val="00137313"/>
    <w:rsid w:val="00287E9B"/>
    <w:rsid w:val="004E3819"/>
    <w:rsid w:val="007E7985"/>
    <w:rsid w:val="0080268B"/>
    <w:rsid w:val="008D3F63"/>
    <w:rsid w:val="00B65C35"/>
    <w:rsid w:val="00EA7765"/>
    <w:rsid w:val="00F96510"/>
    <w:rsid w:val="631E6C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787C77F"/>
  <w15:chartTrackingRefBased/>
  <w15:docId w15:val="{BAE01F5F-2628-BA4B-9D09-B8D22289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E381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81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E38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E38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8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8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8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8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819"/>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E381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E381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4E381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4E381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E381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E381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E381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E381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E3819"/>
    <w:rPr>
      <w:rFonts w:eastAsiaTheme="majorEastAsia" w:cstheme="majorBidi"/>
      <w:color w:val="272727" w:themeColor="text1" w:themeTint="D8"/>
    </w:rPr>
  </w:style>
  <w:style w:type="paragraph" w:styleId="Title">
    <w:name w:val="Title"/>
    <w:basedOn w:val="Normal"/>
    <w:next w:val="Normal"/>
    <w:link w:val="TitleChar"/>
    <w:uiPriority w:val="10"/>
    <w:qFormat/>
    <w:rsid w:val="004E3819"/>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E381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E3819"/>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E38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819"/>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4E3819"/>
    <w:rPr>
      <w:i/>
      <w:iCs/>
      <w:color w:val="404040" w:themeColor="text1" w:themeTint="BF"/>
    </w:rPr>
  </w:style>
  <w:style w:type="paragraph" w:styleId="ListParagraph">
    <w:name w:val="List Paragraph"/>
    <w:basedOn w:val="Normal"/>
    <w:uiPriority w:val="34"/>
    <w:qFormat/>
    <w:rsid w:val="004E3819"/>
    <w:pPr>
      <w:ind w:left="720"/>
      <w:contextualSpacing/>
    </w:pPr>
  </w:style>
  <w:style w:type="character" w:styleId="IntenseEmphasis">
    <w:name w:val="Intense Emphasis"/>
    <w:basedOn w:val="DefaultParagraphFont"/>
    <w:uiPriority w:val="21"/>
    <w:qFormat/>
    <w:rsid w:val="004E3819"/>
    <w:rPr>
      <w:i/>
      <w:iCs/>
      <w:color w:val="0F4761" w:themeColor="accent1" w:themeShade="BF"/>
    </w:rPr>
  </w:style>
  <w:style w:type="paragraph" w:styleId="IntenseQuote">
    <w:name w:val="Intense Quote"/>
    <w:basedOn w:val="Normal"/>
    <w:next w:val="Normal"/>
    <w:link w:val="IntenseQuoteChar"/>
    <w:uiPriority w:val="30"/>
    <w:qFormat/>
    <w:rsid w:val="004E381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E3819"/>
    <w:rPr>
      <w:i/>
      <w:iCs/>
      <w:color w:val="0F4761" w:themeColor="accent1" w:themeShade="BF"/>
    </w:rPr>
  </w:style>
  <w:style w:type="character" w:styleId="IntenseReference">
    <w:name w:val="Intense Reference"/>
    <w:basedOn w:val="DefaultParagraphFont"/>
    <w:uiPriority w:val="32"/>
    <w:qFormat/>
    <w:rsid w:val="004E3819"/>
    <w:rPr>
      <w:b/>
      <w:bCs/>
      <w:smallCaps/>
      <w:color w:val="0F4761" w:themeColor="accent1" w:themeShade="BF"/>
      <w:spacing w:val="5"/>
    </w:rPr>
  </w:style>
  <w:style w:type="paragraph" w:styleId="NormalWeb">
    <w:name w:val="Normal (Web)"/>
    <w:basedOn w:val="Normal"/>
    <w:uiPriority w:val="99"/>
    <w:semiHidden/>
    <w:unhideWhenUsed/>
    <w:rsid w:val="004E3819"/>
    <w:pPr>
      <w:spacing w:before="100" w:beforeAutospacing="1" w:after="100" w:afterAutospacing="1"/>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4E38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9206">
      <w:bodyDiv w:val="1"/>
      <w:marLeft w:val="0"/>
      <w:marRight w:val="0"/>
      <w:marTop w:val="0"/>
      <w:marBottom w:val="0"/>
      <w:divBdr>
        <w:top w:val="none" w:sz="0" w:space="0" w:color="auto"/>
        <w:left w:val="none" w:sz="0" w:space="0" w:color="auto"/>
        <w:bottom w:val="none" w:sz="0" w:space="0" w:color="auto"/>
        <w:right w:val="none" w:sz="0" w:space="0" w:color="auto"/>
      </w:divBdr>
      <w:divsChild>
        <w:div w:id="1089930721">
          <w:marLeft w:val="0"/>
          <w:marRight w:val="0"/>
          <w:marTop w:val="0"/>
          <w:marBottom w:val="0"/>
          <w:divBdr>
            <w:top w:val="none" w:sz="0" w:space="0" w:color="auto"/>
            <w:left w:val="none" w:sz="0" w:space="0" w:color="auto"/>
            <w:bottom w:val="none" w:sz="0" w:space="0" w:color="auto"/>
            <w:right w:val="none" w:sz="0" w:space="0" w:color="auto"/>
          </w:divBdr>
          <w:divsChild>
            <w:div w:id="359550606">
              <w:marLeft w:val="0"/>
              <w:marRight w:val="0"/>
              <w:marTop w:val="0"/>
              <w:marBottom w:val="0"/>
              <w:divBdr>
                <w:top w:val="none" w:sz="0" w:space="0" w:color="auto"/>
                <w:left w:val="none" w:sz="0" w:space="0" w:color="auto"/>
                <w:bottom w:val="none" w:sz="0" w:space="0" w:color="auto"/>
                <w:right w:val="none" w:sz="0" w:space="0" w:color="auto"/>
              </w:divBdr>
              <w:divsChild>
                <w:div w:id="3572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4adc87720a7c0bbb1361555d8bfa24cf">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adcca0e0ad819da0c7879b569ca7e085"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228F8C-1506-431E-856D-8ECC4F081809}"/>
</file>

<file path=customXml/itemProps2.xml><?xml version="1.0" encoding="utf-8"?>
<ds:datastoreItem xmlns:ds="http://schemas.openxmlformats.org/officeDocument/2006/customXml" ds:itemID="{6162F9D6-A712-4A51-818A-EE453641FFBF}"/>
</file>

<file path=customXml/itemProps3.xml><?xml version="1.0" encoding="utf-8"?>
<ds:datastoreItem xmlns:ds="http://schemas.openxmlformats.org/officeDocument/2006/customXml" ds:itemID="{1BDCDF8E-B4EB-4733-87B4-9B83C624E1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Sadbh Caulfield</cp:lastModifiedBy>
  <cp:revision>2</cp:revision>
  <dcterms:created xsi:type="dcterms:W3CDTF">2024-04-24T19:58:00Z</dcterms:created>
  <dcterms:modified xsi:type="dcterms:W3CDTF">2024-07-03T10:39:40Z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